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D6F7">
      <w:pPr>
        <w:widowControl w:val="0"/>
        <w:spacing w:line="1" w:lineRule="exact"/>
      </w:pPr>
    </w:p>
    <w:p w14:paraId="11B6EF56">
      <w:pPr>
        <w:pStyle w:val="11"/>
        <w:keepNext w:val="0"/>
        <w:keepLines w:val="0"/>
        <w:framePr w:wrap="auto" w:vAnchor="page" w:hAnchor="page" w:x="1188" w:y="14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ー、乙方维护管理供电设备数量:</w:t>
      </w:r>
    </w:p>
    <w:p w14:paraId="5025E8E5">
      <w:pPr>
        <w:pStyle w:val="11"/>
        <w:keepNext w:val="0"/>
        <w:keepLines w:val="0"/>
        <w:framePr w:wrap="auto" w:vAnchor="page" w:hAnchor="page" w:x="1139" w:y="10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二、具体维保项目及内容</w:t>
      </w:r>
    </w:p>
    <w:p w14:paraId="568372DB">
      <w:pPr>
        <w:pStyle w:val="9"/>
        <w:keepNext w:val="0"/>
        <w:keepLines w:val="0"/>
        <w:framePr w:wrap="auto" w:vAnchor="page" w:hAnchor="page" w:x="1245" w:y="11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1、</w:t>
      </w:r>
      <w:r>
        <w:rPr>
          <w:color w:val="000000"/>
          <w:spacing w:val="0"/>
          <w:w w:val="100"/>
          <w:position w:val="0"/>
        </w:rPr>
        <w:t>乙方对上述设备的月维保义务,每月的第一周一次免费例行检査、调试、维护、清洁等,</w:t>
      </w:r>
    </w:p>
    <w:tbl>
      <w:tblPr>
        <w:tblStyle w:val="2"/>
        <w:tblpPr w:leftFromText="180" w:rightFromText="180" w:vertAnchor="text" w:horzAnchor="page" w:tblpX="1413" w:tblpY="1628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1452"/>
        <w:gridCol w:w="1776"/>
        <w:gridCol w:w="990"/>
        <w:gridCol w:w="1086"/>
        <w:gridCol w:w="1140"/>
        <w:gridCol w:w="948"/>
        <w:gridCol w:w="1428"/>
      </w:tblGrid>
      <w:tr w14:paraId="75BCB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DAA250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D0CF5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386FAF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规格型号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E448DD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DA9B5B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333CA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A09016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647F32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 w14:paraId="18668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0BB34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8C7FC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变压器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67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400KVA  1台</w:t>
            </w:r>
          </w:p>
          <w:p w14:paraId="4E7C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00KVA  1台</w:t>
            </w:r>
          </w:p>
          <w:p w14:paraId="33D2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630KVA  1台</w:t>
            </w:r>
          </w:p>
          <w:p w14:paraId="1517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800KVA  1台</w:t>
            </w:r>
          </w:p>
          <w:p w14:paraId="5B1B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100OKVA 6台</w:t>
            </w:r>
          </w:p>
          <w:p w14:paraId="474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1250KVA 7台</w:t>
            </w:r>
          </w:p>
          <w:p w14:paraId="57FD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1600KVA 3台</w:t>
            </w:r>
          </w:p>
          <w:p w14:paraId="792ACF0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2000KVA 1台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710B99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7B4C10"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E7CEE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97DCE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B73F52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</w:tr>
      <w:tr w14:paraId="1D213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29C67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79BC7F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进出高压柜 及计量、PT 柜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47C84B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CCF968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6D2B53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D9402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4EA1D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9568EE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包括高压环网柜及油闸分离开关</w:t>
            </w:r>
          </w:p>
        </w:tc>
      </w:tr>
      <w:tr w14:paraId="551F2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E306D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DAAFC9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电力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补偿电容柜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949183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828C74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C2E405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156D3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AD527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7DA4B5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</w:tr>
      <w:tr w14:paraId="55EA3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2642C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7AF98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高压电缆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ABAA2F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850CAA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7829A6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E1FD6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D69EF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C9615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含市政进 线电缆约 5000 米</w:t>
            </w:r>
          </w:p>
        </w:tc>
      </w:tr>
      <w:tr w14:paraId="5204CC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39855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20465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直流屏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86B41A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040D15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595AF5"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3BE5F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B9A3C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267E8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</w:p>
        </w:tc>
      </w:tr>
      <w:tr w14:paraId="2D406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exact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67365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</w:p>
        </w:tc>
      </w:tr>
      <w:tr w14:paraId="2D1C4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4" w:hRule="exact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0DF3F9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备注:</w:t>
            </w:r>
          </w:p>
          <w:p w14:paraId="5B99B613"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462"/>
              </w:tabs>
              <w:bidi w:val="0"/>
              <w:spacing w:before="0" w:after="0" w:line="321" w:lineRule="exact"/>
              <w:ind w:left="0" w:leftChars="0" w:right="0" w:firstLine="0" w:firstLine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</w:rPr>
              <w:t>以上报价含维保所需工具和劳务,如更换元器件及材料由甲方负责采购,乙方免费安 装(整台设备及电缆更换除外);如遇抢修,产生的费用甲方认可后支付给乙方。</w:t>
            </w:r>
          </w:p>
          <w:p w14:paraId="290F629D"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54"/>
              </w:tabs>
              <w:bidi w:val="0"/>
              <w:spacing w:before="0" w:after="0" w:line="321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</w:rPr>
              <w:t>在维保期间:</w:t>
            </w:r>
          </w:p>
          <w:p w14:paraId="2F5D4668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942"/>
              </w:tabs>
              <w:bidi w:val="0"/>
              <w:spacing w:before="0" w:after="0" w:line="321" w:lineRule="exact"/>
              <w:ind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>如高压柜,电容柜增加数量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台以内(含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台),维保总价不变,超过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台,增加 的部分,按合同单价计算,增加维保总价。</w:t>
            </w:r>
          </w:p>
          <w:p w14:paraId="5BA912A0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834"/>
              </w:tabs>
              <w:bidi w:val="0"/>
              <w:spacing w:before="0" w:after="0" w:line="324" w:lineRule="exact"/>
              <w:ind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>如变压器,电缆,直流屏增加数量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台以内(含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台),维保总价不变,超过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rFonts w:ascii="MS PMincho" w:hAnsi="MS PMincho" w:eastAsia="MS PMincho" w:cs="MS PMincho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台,增加的部分,按合同单价计算,增加维保总价。</w:t>
            </w:r>
          </w:p>
        </w:tc>
      </w:tr>
    </w:tbl>
    <w:p w14:paraId="131A4073">
      <w:pPr>
        <w:pStyle w:val="9"/>
        <w:keepNext w:val="0"/>
        <w:keepLines w:val="0"/>
        <w:framePr w:wrap="auto" w:vAnchor="page" w:hAnchor="page" w:x="1246" w:y="115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确保用电运行稳定安全;并建立健全检査维修记录表上墙悬挂。</w:t>
      </w:r>
    </w:p>
    <w:p w14:paraId="7777A41B">
      <w:pPr>
        <w:pStyle w:val="9"/>
        <w:keepNext w:val="0"/>
        <w:keepLines w:val="0"/>
        <w:framePr w:wrap="auto" w:vAnchor="page" w:hAnchor="page" w:x="1300" w:y="12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2、</w:t>
      </w:r>
      <w:r>
        <w:rPr>
          <w:color w:val="000000"/>
          <w:spacing w:val="0"/>
          <w:w w:val="100"/>
          <w:position w:val="0"/>
        </w:rPr>
        <w:t>乙方对上述设备的年度的维保义务,每年一次免费预防性试验。并出具书面检测报告,对</w:t>
      </w:r>
    </w:p>
    <w:p w14:paraId="5D8D4C17">
      <w:pPr>
        <w:pStyle w:val="9"/>
        <w:keepNext w:val="0"/>
        <w:keepLines w:val="0"/>
        <w:framePr w:wrap="auto" w:vAnchor="page" w:hAnchor="page" w:x="1192" w:y="12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发现问题及时处理</w:t>
      </w:r>
    </w:p>
    <w:p w14:paraId="5ED08805"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  <w:bookmarkStart w:id="0" w:name="_GoBack"/>
      <w:bookmarkEnd w:id="0"/>
    </w:p>
    <w:p w14:paraId="3CF8DEEE">
      <w:pPr>
        <w:widowControl w:val="0"/>
        <w:spacing w:line="1" w:lineRule="exact"/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4"/>
        <w:gridCol w:w="2478"/>
        <w:gridCol w:w="6288"/>
      </w:tblGrid>
      <w:tr w14:paraId="2B67F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5C01CE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度 维 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6FF6F27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维护保养项目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AAFFD5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维保内容</w:t>
            </w:r>
          </w:p>
        </w:tc>
      </w:tr>
      <w:tr w14:paraId="48C399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32190A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DC81F39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低压控制回路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9E6C76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各互感器正常、标号正确、绝缘无变色老化</w:t>
            </w:r>
          </w:p>
        </w:tc>
      </w:tr>
      <w:tr w14:paraId="32284F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D93BE50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8609B1B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电源接头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F71D51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端子绝缘正常、无变色</w:t>
            </w:r>
          </w:p>
        </w:tc>
      </w:tr>
      <w:tr w14:paraId="26C98F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E9F545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9ED1E9C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继电保护装置设置参数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8560EC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参数设置正确、无误</w:t>
            </w:r>
          </w:p>
        </w:tc>
      </w:tr>
      <w:tr w14:paraId="1CE6E0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01A81BC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4C8A244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操作机构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184A9A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连锁装置灵活、操作正常</w:t>
            </w:r>
          </w:p>
        </w:tc>
      </w:tr>
      <w:tr w14:paraId="2869E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70C256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D08E6BC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继电保护装置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395659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灵活、速动、可靠</w:t>
            </w:r>
          </w:p>
        </w:tc>
      </w:tr>
      <w:tr w14:paraId="44174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63EF7B4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D308F39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高压组合开关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A430B5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操作机构灵活、触头正常、分合正常</w:t>
            </w:r>
          </w:p>
        </w:tc>
      </w:tr>
      <w:tr w14:paraId="30DAE5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628C672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CF04CEE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变压器接线、各端子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8EDFF9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高压进线、中性点接线牢固</w:t>
            </w:r>
          </w:p>
        </w:tc>
      </w:tr>
      <w:tr w14:paraId="30C20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0572083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DAB3FE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变压器电压调节器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47548A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三相平衡、接线牢固</w:t>
            </w:r>
          </w:p>
        </w:tc>
      </w:tr>
      <w:tr w14:paraId="02DBD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8BEA52A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7EFA549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母线排、高压进线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2F0AE2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压接良好、色标清晰、绝缘良好、端子紧固</w:t>
            </w:r>
          </w:p>
        </w:tc>
      </w:tr>
      <w:tr w14:paraId="4F645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80F1152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13450EE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配电柜接地、接零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1D70D5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接地接零良好、牢固可靠</w:t>
            </w:r>
          </w:p>
        </w:tc>
      </w:tr>
      <w:tr w14:paraId="63A69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8392569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C8E7F57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绝缘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19AA2F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擦尘、整体完好无损、阻值正常</w:t>
            </w:r>
          </w:p>
        </w:tc>
      </w:tr>
      <w:tr w14:paraId="2658C3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F67D0A">
            <w:pPr>
              <w:framePr w:w="9570" w:h="4338" w:wrap="auto" w:vAnchor="page" w:hAnchor="page" w:x="1233" w:y="8553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4375FBEB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变压器线圈绝缘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C750CF">
            <w:pPr>
              <w:pStyle w:val="13"/>
              <w:keepNext w:val="0"/>
              <w:keepLines w:val="0"/>
              <w:framePr w:w="9570" w:h="4338" w:wrap="auto" w:vAnchor="page" w:hAnchor="page" w:x="1233" w:y="85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测试各相阻值正常</w:t>
            </w:r>
          </w:p>
        </w:tc>
      </w:tr>
    </w:tbl>
    <w:p w14:paraId="6261B5A7">
      <w:pPr>
        <w:pStyle w:val="17"/>
        <w:keepNext w:val="0"/>
        <w:keepLines w:val="0"/>
        <w:framePr w:wrap="auto" w:vAnchor="page" w:hAnchor="page" w:x="5774" w:y="16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</w:p>
    <w:tbl>
      <w:tblPr>
        <w:tblStyle w:val="2"/>
        <w:tblpPr w:leftFromText="180" w:rightFromText="180" w:vertAnchor="text" w:horzAnchor="page" w:tblpX="1263" w:tblpY="54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2460"/>
        <w:gridCol w:w="6300"/>
      </w:tblGrid>
      <w:tr w14:paraId="49495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73C6C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 维 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4A719C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维护保养项目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5F894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维保内容</w:t>
            </w:r>
          </w:p>
        </w:tc>
      </w:tr>
      <w:tr w14:paraId="3EEAE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0F4152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237684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配电屏卫生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73012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清洁</w:t>
            </w:r>
          </w:p>
        </w:tc>
      </w:tr>
      <w:tr w14:paraId="424E6F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053401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B6DC73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电气仪表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349AF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触点完好,无过热现象,无焦点</w:t>
            </w:r>
          </w:p>
        </w:tc>
      </w:tr>
      <w:tr w14:paraId="2EA93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81E06EC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4094B5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控制回路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99B2F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压接良好,无过热现象,无焦点</w:t>
            </w:r>
          </w:p>
        </w:tc>
      </w:tr>
      <w:tr w14:paraId="0F938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DC01B52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EF3F51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电容无功补偿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7802D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功率因数在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0.95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以上,电容接触器完好,电容补偿器三相平衡, 无变形、发熟、安装牢固</w:t>
            </w:r>
          </w:p>
        </w:tc>
      </w:tr>
      <w:tr w14:paraId="0183E3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32D2F9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5767CB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空开断路器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686E91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外表清洁、触点完好、无噪音过热现象</w:t>
            </w:r>
          </w:p>
        </w:tc>
      </w:tr>
      <w:tr w14:paraId="24677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C0D2F7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4DBA4A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绝缘工具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5B386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正常有效、清洁卫生</w:t>
            </w:r>
          </w:p>
        </w:tc>
      </w:tr>
      <w:tr w14:paraId="3A6D9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FFC625C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5C5EF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通风、照明、应急设施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02AC6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无故障、保持通风照明需要</w:t>
            </w:r>
          </w:p>
        </w:tc>
      </w:tr>
      <w:tr w14:paraId="1EB06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C42B9CC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B0AB4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门窗及防小动物设施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0F8E38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门窗开启灵活、无大于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lOmm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缝隙,通风网无大于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lOmm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小孔,无严 重锈蚀</w:t>
            </w:r>
          </w:p>
        </w:tc>
      </w:tr>
      <w:tr w14:paraId="669721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9E2FB2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AB116C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灭火器材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0C4A9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正常有效,清洁完好</w:t>
            </w:r>
          </w:p>
        </w:tc>
      </w:tr>
      <w:tr w14:paraId="77103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2F1432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260CB3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高压配电柜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713CF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外观清洁、各标示牌、设备名牌齐全、牢固</w:t>
            </w:r>
          </w:p>
        </w:tc>
      </w:tr>
      <w:tr w14:paraId="5DE548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A94E49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C4AFFD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电器仪表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24D47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清洁、显示正常、固定牢靠</w:t>
            </w:r>
          </w:p>
        </w:tc>
      </w:tr>
      <w:tr w14:paraId="2ADA7A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578C961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7F273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指示灯、按钮转换开关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5FF99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外表清洁、标志清晰、牢固可靠、转动灵活 压接良好、绝缘良好、使用正常</w:t>
            </w:r>
          </w:p>
        </w:tc>
      </w:tr>
      <w:tr w14:paraId="0F1A3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0A4DC8D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A1CAA5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配电柜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356F1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内计量、照明正常、无损坏</w:t>
            </w:r>
          </w:p>
        </w:tc>
      </w:tr>
      <w:tr w14:paraId="7F7947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3B96821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27C2D5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SF6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负荷开关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49D40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气体压カ指标数据正常、符合设备出厂规范</w:t>
            </w:r>
          </w:p>
        </w:tc>
      </w:tr>
      <w:tr w14:paraId="6F42B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36B0EF7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CD054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变压器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56EF2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外观清洁、各标示牌、设备名牌齐全,牢固,控制、显示各参数设 置正确、显示正常</w:t>
            </w:r>
          </w:p>
        </w:tc>
      </w:tr>
      <w:tr w14:paraId="2F5991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CF7782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E62474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UPS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蓄电池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43596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电压指示正常,无异常报警,使用正常</w:t>
            </w:r>
          </w:p>
        </w:tc>
      </w:tr>
      <w:tr w14:paraId="5DC4E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C1C5AD"/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2088A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、维保须包含以上内容但不仅限以上内容。</w:t>
            </w:r>
          </w:p>
          <w:p w14:paraId="1966F08B"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824"/>
              </w:tabs>
              <w:bidi w:val="0"/>
              <w:spacing w:before="0" w:after="6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每月须提供保养清单及机组整体设备运行情况报告。</w:t>
            </w:r>
          </w:p>
          <w:p w14:paraId="7F827766"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824"/>
              </w:tabs>
              <w:bidi w:val="0"/>
              <w:spacing w:before="0" w:after="6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需停电的实验和除尘放在寒暑假,不影响正常供电。</w:t>
            </w:r>
          </w:p>
        </w:tc>
      </w:tr>
    </w:tbl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0"/>
        <w:gridCol w:w="2478"/>
        <w:gridCol w:w="6300"/>
      </w:tblGrid>
      <w:tr w14:paraId="60FEC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468B7D">
            <w:pPr>
              <w:framePr w:w="9588" w:h="1638" w:wrap="auto" w:vAnchor="page" w:hAnchor="page" w:x="1200" w:y="129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EA0E355">
            <w:pPr>
              <w:pStyle w:val="13"/>
              <w:keepNext w:val="0"/>
              <w:keepLines w:val="0"/>
              <w:framePr w:w="9588" w:h="1638" w:wrap="auto" w:vAnchor="page" w:hAnchor="page" w:x="1200" w:y="12919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高压电缆(含进线主电 缆)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C47FB4">
            <w:pPr>
              <w:pStyle w:val="13"/>
              <w:keepNext w:val="0"/>
              <w:keepLines w:val="0"/>
              <w:framePr w:w="9588" w:h="1638" w:wrap="auto" w:vAnchor="page" w:hAnchor="page" w:x="1200" w:y="129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运行正常</w:t>
            </w:r>
          </w:p>
        </w:tc>
      </w:tr>
      <w:tr w14:paraId="2315E6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BC8CE44">
            <w:pPr>
              <w:framePr w:w="9588" w:h="1638" w:wrap="auto" w:vAnchor="page" w:hAnchor="page" w:x="1200" w:y="12919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EF86E7">
            <w:pPr>
              <w:pStyle w:val="13"/>
              <w:keepNext w:val="0"/>
              <w:keepLines w:val="0"/>
              <w:framePr w:w="9588" w:h="1638" w:wrap="auto" w:vAnchor="page" w:hAnchor="page" w:x="1200" w:y="129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预防性试验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FC9ACC">
            <w:pPr>
              <w:pStyle w:val="13"/>
              <w:keepNext w:val="0"/>
              <w:keepLines w:val="0"/>
              <w:framePr w:w="9588" w:h="1638" w:wrap="auto" w:vAnchor="page" w:hAnchor="page" w:x="1200" w:y="129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所有设备检测</w:t>
            </w:r>
          </w:p>
        </w:tc>
      </w:tr>
      <w:tr w14:paraId="3EFA8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6AE6CAA4">
            <w:pPr>
              <w:framePr w:w="9588" w:h="1638" w:wrap="auto" w:vAnchor="page" w:hAnchor="page" w:x="1200" w:y="12919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412529">
            <w:pPr>
              <w:pStyle w:val="13"/>
              <w:keepNext w:val="0"/>
              <w:keepLines w:val="0"/>
              <w:framePr w:w="9588" w:h="1638" w:wrap="auto" w:vAnchor="page" w:hAnchor="page" w:x="1200" w:y="1291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、维保须包含以上内容但不仅限以上内容。</w:t>
            </w:r>
          </w:p>
          <w:p w14:paraId="3A1C6498">
            <w:pPr>
              <w:pStyle w:val="13"/>
              <w:keepNext w:val="0"/>
              <w:keepLines w:val="0"/>
              <w:framePr w:w="9588" w:h="1638" w:wrap="auto" w:vAnchor="page" w:hAnchor="page" w:x="1200" w:y="129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、每月须提供保养清单及机组整体设备运行情况报告。</w:t>
            </w:r>
          </w:p>
        </w:tc>
      </w:tr>
    </w:tbl>
    <w:p w14:paraId="368B9DEA"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 w14:paraId="6C06E40E"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231519"/>
    <w:rsid w:val="20C2433E"/>
    <w:rsid w:val="79950867"/>
    <w:rsid w:val="7B0A6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qFormat/>
    <w:uiPriority w:val="0"/>
    <w:rPr>
      <w:rFonts w:ascii="MS Mincho" w:hAnsi="MS Mincho" w:eastAsia="MS Mincho" w:cs="MS Mincho"/>
      <w:sz w:val="36"/>
      <w:szCs w:val="36"/>
      <w:u w:val="none"/>
      <w:shd w:val="clear" w:color="auto" w:fill="auto"/>
    </w:rPr>
  </w:style>
  <w:style w:type="paragraph" w:customStyle="1" w:styleId="5">
    <w:name w:val="Heading #2|1"/>
    <w:basedOn w:val="1"/>
    <w:link w:val="4"/>
    <w:qFormat/>
    <w:uiPriority w:val="0"/>
    <w:pPr>
      <w:widowControl w:val="0"/>
      <w:shd w:val="clear" w:color="auto" w:fill="auto"/>
      <w:spacing w:line="223" w:lineRule="auto"/>
      <w:jc w:val="right"/>
      <w:outlineLvl w:val="1"/>
    </w:pPr>
    <w:rPr>
      <w:rFonts w:ascii="MS Mincho" w:hAnsi="MS Mincho" w:eastAsia="MS Mincho" w:cs="MS Mincho"/>
      <w:sz w:val="36"/>
      <w:szCs w:val="36"/>
      <w:u w:val="none"/>
      <w:shd w:val="clear" w:color="auto" w:fill="auto"/>
    </w:rPr>
  </w:style>
  <w:style w:type="character" w:customStyle="1" w:styleId="6">
    <w:name w:val="Body text|2_"/>
    <w:basedOn w:val="3"/>
    <w:link w:val="7"/>
    <w:qFormat/>
    <w:uiPriority w:val="0"/>
    <w:rPr>
      <w:rFonts w:ascii="MS PMincho" w:hAnsi="MS PMincho" w:eastAsia="MS PMincho" w:cs="MS PMincho"/>
      <w:sz w:val="22"/>
      <w:szCs w:val="22"/>
      <w:u w:val="none"/>
      <w:shd w:val="clear" w:color="auto" w:fill="auto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ind w:left="1690"/>
    </w:pPr>
    <w:rPr>
      <w:rFonts w:ascii="MS PMincho" w:hAnsi="MS PMincho" w:eastAsia="MS PMincho" w:cs="MS PMincho"/>
      <w:sz w:val="22"/>
      <w:szCs w:val="22"/>
      <w:u w:val="none"/>
      <w:shd w:val="clear" w:color="auto" w:fill="auto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10">
    <w:name w:val="Table caption|1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11">
    <w:name w:val="Table caption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14">
    <w:name w:val="Header or footer|2_"/>
    <w:basedOn w:val="3"/>
    <w:link w:val="15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6">
    <w:name w:val="Header or footer|1_"/>
    <w:basedOn w:val="3"/>
    <w:link w:val="17"/>
    <w:uiPriority w:val="0"/>
    <w:rPr>
      <w:sz w:val="19"/>
      <w:szCs w:val="19"/>
      <w:u w:val="none"/>
      <w:shd w:val="clear" w:color="auto" w:fill="auto"/>
    </w:rPr>
  </w:style>
  <w:style w:type="paragraph" w:customStyle="1" w:styleId="17">
    <w:name w:val="Header or footer|1"/>
    <w:basedOn w:val="1"/>
    <w:link w:val="16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  <w:style w:type="character" w:customStyle="1" w:styleId="18">
    <w:name w:val="Table of contents|1_"/>
    <w:basedOn w:val="3"/>
    <w:link w:val="19"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19">
    <w:name w:val="Table of contents|1"/>
    <w:basedOn w:val="1"/>
    <w:link w:val="18"/>
    <w:qFormat/>
    <w:uiPriority w:val="0"/>
    <w:pPr>
      <w:widowControl w:val="0"/>
      <w:shd w:val="clear" w:color="auto" w:fill="auto"/>
      <w:spacing w:line="529" w:lineRule="exact"/>
      <w:ind w:firstLine="380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20">
    <w:name w:val="Picture caption|1_"/>
    <w:basedOn w:val="3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21">
    <w:name w:val="Picture caption|1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22">
    <w:name w:val="Heading #1|1_"/>
    <w:basedOn w:val="3"/>
    <w:link w:val="23"/>
    <w:qFormat/>
    <w:uiPriority w:val="0"/>
    <w:rPr>
      <w:rFonts w:ascii="Batang" w:hAnsi="Batang" w:eastAsia="Batang" w:cs="Batang"/>
      <w:color w:val="DD3038"/>
      <w:sz w:val="54"/>
      <w:szCs w:val="54"/>
      <w:u w:val="none"/>
      <w:shd w:val="clear" w:color="auto" w:fill="auto"/>
    </w:rPr>
  </w:style>
  <w:style w:type="paragraph" w:customStyle="1" w:styleId="23">
    <w:name w:val="Heading #1|1"/>
    <w:basedOn w:val="1"/>
    <w:link w:val="22"/>
    <w:qFormat/>
    <w:uiPriority w:val="0"/>
    <w:pPr>
      <w:widowControl w:val="0"/>
      <w:shd w:val="clear" w:color="auto" w:fill="auto"/>
      <w:jc w:val="right"/>
      <w:outlineLvl w:val="0"/>
    </w:pPr>
    <w:rPr>
      <w:rFonts w:ascii="Batang" w:hAnsi="Batang" w:eastAsia="Batang" w:cs="Batang"/>
      <w:color w:val="DD3038"/>
      <w:sz w:val="54"/>
      <w:szCs w:val="54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1229</Words>
  <Characters>1299</Characters>
  <TotalTime>1</TotalTime>
  <ScaleCrop>false</ScaleCrop>
  <LinksUpToDate>false</LinksUpToDate>
  <CharactersWithSpaces>1331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2024-11-27T06:12:00Z</dcterms:created>
  <dc:creator>Administrator</dc:creator>
  <cp:lastModifiedBy>欧阳紫俊</cp:lastModifiedBy>
  <dcterms:modified xsi:type="dcterms:W3CDTF">2024-12-16T09:26:19Z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537EC1E9B5EA4F05946120F14552DC7A_12</vt:lpwstr>
  </property>
</Properties>
</file>