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pPr>
      <w:r>
        <w:rPr>
          <w:rFonts w:hint="eastAsia" w:ascii="黑体" w:hAnsi="黑体" w:eastAsia="黑体" w:cs="黑体"/>
          <w:sz w:val="52"/>
          <w:szCs w:val="52"/>
        </w:rPr>
        <w:drawing>
          <wp:anchor distT="0" distB="0" distL="114300" distR="114300" simplePos="0" relativeHeight="251659264" behindDoc="0" locked="0" layoutInCell="1" allowOverlap="1">
            <wp:simplePos x="0" y="0"/>
            <wp:positionH relativeFrom="margin">
              <wp:align>center</wp:align>
            </wp:positionH>
            <wp:positionV relativeFrom="paragraph">
              <wp:posOffset>13970</wp:posOffset>
            </wp:positionV>
            <wp:extent cx="5615940" cy="3221355"/>
            <wp:effectExtent l="0" t="0" r="0" b="0"/>
            <wp:wrapSquare wrapText="bothSides"/>
            <wp:docPr id="12" name="图片 2" descr="临床医学院logo新版2020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临床医学院logo新版202010-0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15940" cy="3221355"/>
                    </a:xfrm>
                    <a:prstGeom prst="rect">
                      <a:avLst/>
                    </a:prstGeom>
                    <a:noFill/>
                    <a:ln>
                      <a:noFill/>
                    </a:ln>
                    <a:effectLst/>
                  </pic:spPr>
                </pic:pic>
              </a:graphicData>
            </a:graphic>
          </wp:anchor>
        </w:drawing>
      </w:r>
    </w:p>
    <w:p>
      <w:pPr>
        <w:rPr>
          <w:rFonts w:eastAsia="黑体"/>
          <w:b/>
          <w:sz w:val="72"/>
          <w:szCs w:val="72"/>
        </w:rPr>
      </w:pPr>
    </w:p>
    <w:p>
      <w:pPr>
        <w:spacing w:line="360" w:lineRule="auto"/>
        <w:jc w:val="center"/>
        <w:rPr>
          <w:rFonts w:ascii="黑体" w:hAnsi="黑体" w:eastAsia="黑体" w:cs="黑体"/>
          <w:b/>
          <w:sz w:val="44"/>
          <w:szCs w:val="44"/>
        </w:rPr>
      </w:pPr>
      <w:r>
        <w:rPr>
          <w:rFonts w:hint="eastAsia" w:ascii="黑体" w:hAnsi="黑体" w:eastAsia="黑体" w:cs="黑体"/>
          <w:b/>
          <w:sz w:val="72"/>
          <w:szCs w:val="72"/>
        </w:rPr>
        <w:t>本科教学质量报告</w:t>
      </w:r>
    </w:p>
    <w:p>
      <w:pPr>
        <w:spacing w:line="360" w:lineRule="auto"/>
        <w:jc w:val="center"/>
        <w:rPr>
          <w:rFonts w:ascii="黑体" w:hAnsi="黑体" w:eastAsia="黑体" w:cs="黑体"/>
          <w:b/>
          <w:sz w:val="48"/>
          <w:szCs w:val="48"/>
        </w:rPr>
      </w:pPr>
      <w:r>
        <w:rPr>
          <w:rFonts w:hint="eastAsia" w:ascii="黑体" w:hAnsi="黑体" w:eastAsia="黑体" w:cs="黑体"/>
          <w:b/>
          <w:sz w:val="48"/>
          <w:szCs w:val="48"/>
        </w:rPr>
        <w:t>（2022-2023学年）</w:t>
      </w: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spacing w:line="400" w:lineRule="exact"/>
        <w:jc w:val="left"/>
      </w:pPr>
    </w:p>
    <w:p>
      <w:pPr>
        <w:jc w:val="center"/>
        <w:rPr>
          <w:b/>
          <w:sz w:val="44"/>
          <w:szCs w:val="44"/>
        </w:rPr>
      </w:pPr>
      <w:r>
        <w:rPr>
          <w:rFonts w:hint="eastAsia"/>
          <w:b/>
          <w:sz w:val="44"/>
          <w:szCs w:val="44"/>
        </w:rPr>
        <w:t>安徽医科大学临床医学院</w:t>
      </w:r>
    </w:p>
    <w:p>
      <w:pPr>
        <w:jc w:val="center"/>
        <w:rPr>
          <w:b/>
          <w:sz w:val="44"/>
          <w:szCs w:val="44"/>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titlePg/>
          <w:docGrid w:type="lines" w:linePitch="312" w:charSpace="0"/>
        </w:sectPr>
      </w:pPr>
      <w:r>
        <w:rPr>
          <w:b/>
          <w:sz w:val="44"/>
          <w:szCs w:val="44"/>
        </w:rPr>
        <w:t>二〇二</w:t>
      </w:r>
      <w:r>
        <w:rPr>
          <w:rFonts w:hint="eastAsia"/>
          <w:b/>
          <w:sz w:val="44"/>
          <w:szCs w:val="44"/>
        </w:rPr>
        <w:t>三</w:t>
      </w:r>
      <w:r>
        <w:rPr>
          <w:b/>
          <w:sz w:val="44"/>
          <w:szCs w:val="44"/>
        </w:rPr>
        <w:t>年十</w:t>
      </w:r>
      <w:r>
        <w:rPr>
          <w:rFonts w:hint="eastAsia"/>
          <w:b/>
          <w:sz w:val="44"/>
          <w:szCs w:val="44"/>
        </w:rPr>
        <w:t>一</w:t>
      </w:r>
      <w:r>
        <w:rPr>
          <w:b/>
          <w:sz w:val="44"/>
          <w:szCs w:val="44"/>
        </w:rPr>
        <w:t>月</w:t>
      </w:r>
    </w:p>
    <w:p>
      <w:pPr>
        <w:spacing w:line="400" w:lineRule="exact"/>
        <w:jc w:val="center"/>
        <w:rPr>
          <w:b/>
          <w:sz w:val="32"/>
          <w:szCs w:val="32"/>
        </w:rPr>
      </w:pPr>
      <w:r>
        <w:rPr>
          <w:b/>
          <w:sz w:val="32"/>
          <w:szCs w:val="32"/>
        </w:rPr>
        <w:t>目  录</w:t>
      </w:r>
    </w:p>
    <w:p>
      <w:pPr>
        <w:pStyle w:val="17"/>
        <w:tabs>
          <w:tab w:val="right" w:leader="dot" w:pos="8306"/>
          <w:tab w:val="clear" w:pos="8296"/>
        </w:tabs>
        <w:spacing w:before="156"/>
      </w:pPr>
      <w:r>
        <w:rPr>
          <w:b w:val="0"/>
          <w:sz w:val="32"/>
          <w:szCs w:val="32"/>
        </w:rPr>
        <w:fldChar w:fldCharType="begin"/>
      </w:r>
      <w:r>
        <w:rPr>
          <w:b w:val="0"/>
          <w:sz w:val="32"/>
          <w:szCs w:val="32"/>
        </w:rPr>
        <w:instrText xml:space="preserve">TOC \o "1-2" \h \u </w:instrText>
      </w:r>
      <w:r>
        <w:rPr>
          <w:b w:val="0"/>
          <w:sz w:val="32"/>
          <w:szCs w:val="32"/>
        </w:rPr>
        <w:fldChar w:fldCharType="separate"/>
      </w:r>
      <w:r>
        <w:fldChar w:fldCharType="begin"/>
      </w:r>
      <w:r>
        <w:instrText xml:space="preserve"> HYPERLINK \l "_Toc9277" </w:instrText>
      </w:r>
      <w:r>
        <w:fldChar w:fldCharType="separate"/>
      </w:r>
      <w:r>
        <w:rPr>
          <w:rFonts w:hint="eastAsia" w:ascii="黑体" w:hAnsi="黑体" w:eastAsia="黑体" w:cs="黑体"/>
          <w:szCs w:val="30"/>
        </w:rPr>
        <w:t>一、本科教育基本情况</w:t>
      </w:r>
      <w:r>
        <w:tab/>
      </w:r>
      <w:r>
        <w:fldChar w:fldCharType="begin"/>
      </w:r>
      <w:r>
        <w:instrText xml:space="preserve"> PAGEREF _Toc9277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"_Toc18891" </w:instrText>
      </w:r>
      <w:r>
        <w:fldChar w:fldCharType="separate"/>
      </w:r>
      <w:r>
        <w:rPr>
          <w:rFonts w:hint="eastAsia" w:ascii="黑体" w:hAnsi="黑体" w:eastAsia="黑体" w:cs="黑体"/>
          <w:szCs w:val="28"/>
        </w:rPr>
        <w:t>1.1人才培养目标</w:t>
      </w:r>
      <w:r>
        <w:tab/>
      </w:r>
      <w:r>
        <w:fldChar w:fldCharType="begin"/>
      </w:r>
      <w:r>
        <w:instrText xml:space="preserve"> PAGEREF _Toc18891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"_Toc8993" </w:instrText>
      </w:r>
      <w:r>
        <w:fldChar w:fldCharType="separate"/>
      </w:r>
      <w:r>
        <w:rPr>
          <w:rFonts w:hint="eastAsia" w:ascii="黑体" w:hAnsi="黑体" w:eastAsia="黑体" w:cs="黑体"/>
          <w:szCs w:val="28"/>
        </w:rPr>
        <w:t>1.2学科专业设置情况</w:t>
      </w:r>
      <w:r>
        <w:tab/>
      </w:r>
      <w:r>
        <w:fldChar w:fldCharType="begin"/>
      </w:r>
      <w:r>
        <w:instrText xml:space="preserve"> PAGEREF _Toc8993 \h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"_Toc3920" </w:instrText>
      </w:r>
      <w:r>
        <w:fldChar w:fldCharType="separate"/>
      </w:r>
      <w:r>
        <w:rPr>
          <w:rFonts w:hint="eastAsia" w:ascii="黑体" w:hAnsi="黑体" w:eastAsia="黑体" w:cs="黑体"/>
          <w:szCs w:val="28"/>
        </w:rPr>
        <w:t>1.3在校生规模</w:t>
      </w:r>
      <w:r>
        <w:tab/>
      </w:r>
      <w:r>
        <w:fldChar w:fldCharType="begin"/>
      </w:r>
      <w:r>
        <w:instrText xml:space="preserve"> PAGEREF _Toc3920 \h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"_Toc8096" </w:instrText>
      </w:r>
      <w:r>
        <w:fldChar w:fldCharType="separate"/>
      </w:r>
      <w:r>
        <w:rPr>
          <w:rFonts w:eastAsia="黑体"/>
          <w:szCs w:val="28"/>
        </w:rPr>
        <w:t>1.4本科生生源质量</w:t>
      </w:r>
      <w:r>
        <w:tab/>
      </w:r>
      <w:r>
        <w:fldChar w:fldCharType="begin"/>
      </w:r>
      <w:r>
        <w:instrText xml:space="preserve"> PAGEREF _Toc8096 \h </w:instrText>
      </w:r>
      <w:r>
        <w:fldChar w:fldCharType="separate"/>
      </w:r>
      <w:r>
        <w:t>4</w:t>
      </w:r>
      <w:r>
        <w:fldChar w:fldCharType="end"/>
      </w:r>
      <w:r>
        <w:fldChar w:fldCharType="end"/>
      </w:r>
    </w:p>
    <w:p>
      <w:pPr>
        <w:pStyle w:val="17"/>
        <w:tabs>
          <w:tab w:val="right" w:leader="dot" w:pos="8306"/>
          <w:tab w:val="clear" w:pos="8296"/>
        </w:tabs>
        <w:spacing w:before="156"/>
      </w:pPr>
      <w:r>
        <w:fldChar w:fldCharType="begin"/>
      </w:r>
      <w:r>
        <w:instrText xml:space="preserve"> HYPERLINK \l "_Toc30662" </w:instrText>
      </w:r>
      <w:r>
        <w:fldChar w:fldCharType="separate"/>
      </w:r>
      <w:r>
        <w:rPr>
          <w:rFonts w:eastAsia="黑体"/>
          <w:bCs/>
          <w:szCs w:val="30"/>
        </w:rPr>
        <w:t>二、师资与教学条件</w:t>
      </w:r>
      <w:r>
        <w:tab/>
      </w:r>
      <w:r>
        <w:fldChar w:fldCharType="begin"/>
      </w:r>
      <w:r>
        <w:instrText xml:space="preserve"> PAGEREF _Toc30662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"_Toc32004" </w:instrText>
      </w:r>
      <w:r>
        <w:fldChar w:fldCharType="separate"/>
      </w:r>
      <w:r>
        <w:rPr>
          <w:rFonts w:eastAsia="黑体"/>
          <w:szCs w:val="28"/>
        </w:rPr>
        <w:t>2.1师资队伍</w:t>
      </w:r>
      <w:r>
        <w:tab/>
      </w:r>
      <w:r>
        <w:fldChar w:fldCharType="begin"/>
      </w:r>
      <w:r>
        <w:instrText xml:space="preserve"> PAGEREF _Toc32004 \h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"_Toc2410" </w:instrText>
      </w:r>
      <w:r>
        <w:fldChar w:fldCharType="separate"/>
      </w:r>
      <w:r>
        <w:rPr>
          <w:rFonts w:eastAsia="黑体"/>
          <w:szCs w:val="28"/>
        </w:rPr>
        <w:t>2.2本科主讲教师情况</w:t>
      </w:r>
      <w:r>
        <w:tab/>
      </w:r>
      <w:r>
        <w:fldChar w:fldCharType="begin"/>
      </w:r>
      <w:r>
        <w:instrText xml:space="preserve"> PAGEREF _Toc2410 \h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"_Toc68" </w:instrText>
      </w:r>
      <w:r>
        <w:fldChar w:fldCharType="separate"/>
      </w:r>
      <w:r>
        <w:rPr>
          <w:rFonts w:eastAsia="黑体"/>
          <w:szCs w:val="28"/>
        </w:rPr>
        <w:t>2.3教学经费投入情况</w:t>
      </w:r>
      <w:r>
        <w:tab/>
      </w:r>
      <w:r>
        <w:fldChar w:fldCharType="begin"/>
      </w:r>
      <w:r>
        <w:instrText xml:space="preserve"> PAGEREF _Toc68 \h </w:instrText>
      </w:r>
      <w:r>
        <w:fldChar w:fldCharType="separate"/>
      </w:r>
      <w:r>
        <w:t>7</w:t>
      </w:r>
      <w:r>
        <w:fldChar w:fldCharType="end"/>
      </w:r>
      <w:r>
        <w:fldChar w:fldCharType="end"/>
      </w:r>
    </w:p>
    <w:p>
      <w:pPr>
        <w:pStyle w:val="18"/>
        <w:tabs>
          <w:tab w:val="right" w:leader="dot" w:pos="8306"/>
          <w:tab w:val="clear" w:pos="8296"/>
        </w:tabs>
      </w:pPr>
      <w:r>
        <w:fldChar w:fldCharType="begin"/>
      </w:r>
      <w:r>
        <w:instrText xml:space="preserve"> HYPERLINK \l "_Toc13890" </w:instrText>
      </w:r>
      <w:r>
        <w:fldChar w:fldCharType="separate"/>
      </w:r>
      <w:r>
        <w:rPr>
          <w:rFonts w:eastAsia="黑体"/>
          <w:szCs w:val="28"/>
        </w:rPr>
        <w:t>2.4教学设施应用情况</w:t>
      </w:r>
      <w:r>
        <w:tab/>
      </w:r>
      <w:r>
        <w:fldChar w:fldCharType="begin"/>
      </w:r>
      <w:r>
        <w:instrText xml:space="preserve"> PAGEREF _Toc13890 \h </w:instrText>
      </w:r>
      <w:r>
        <w:fldChar w:fldCharType="separate"/>
      </w:r>
      <w:r>
        <w:t>7</w:t>
      </w:r>
      <w:r>
        <w:fldChar w:fldCharType="end"/>
      </w:r>
      <w:r>
        <w:fldChar w:fldCharType="end"/>
      </w:r>
    </w:p>
    <w:p>
      <w:pPr>
        <w:pStyle w:val="17"/>
        <w:tabs>
          <w:tab w:val="right" w:leader="dot" w:pos="8306"/>
          <w:tab w:val="clear" w:pos="8296"/>
        </w:tabs>
        <w:spacing w:before="156"/>
      </w:pPr>
      <w:r>
        <w:fldChar w:fldCharType="begin"/>
      </w:r>
      <w:r>
        <w:instrText xml:space="preserve"> HYPERLINK \l "_Toc14485" </w:instrText>
      </w:r>
      <w:r>
        <w:fldChar w:fldCharType="separate"/>
      </w:r>
      <w:r>
        <w:rPr>
          <w:rFonts w:eastAsia="黑体"/>
          <w:szCs w:val="30"/>
        </w:rPr>
        <w:t>三、教学建设与改革</w:t>
      </w:r>
      <w:r>
        <w:tab/>
      </w:r>
      <w:r>
        <w:fldChar w:fldCharType="begin"/>
      </w:r>
      <w:r>
        <w:instrText xml:space="preserve"> PAGEREF _Toc14485 \h </w:instrText>
      </w:r>
      <w:r>
        <w:fldChar w:fldCharType="separate"/>
      </w:r>
      <w:r>
        <w:t>8</w:t>
      </w:r>
      <w:r>
        <w:fldChar w:fldCharType="end"/>
      </w:r>
      <w:r>
        <w:fldChar w:fldCharType="end"/>
      </w:r>
    </w:p>
    <w:p>
      <w:pPr>
        <w:pStyle w:val="18"/>
        <w:tabs>
          <w:tab w:val="right" w:leader="dot" w:pos="8306"/>
          <w:tab w:val="clear" w:pos="8296"/>
        </w:tabs>
      </w:pPr>
      <w:r>
        <w:fldChar w:fldCharType="begin"/>
      </w:r>
      <w:r>
        <w:instrText xml:space="preserve"> HYPERLINK \l "_Toc10472" </w:instrText>
      </w:r>
      <w:r>
        <w:fldChar w:fldCharType="separate"/>
      </w:r>
      <w:r>
        <w:rPr>
          <w:rFonts w:eastAsia="黑体"/>
          <w:szCs w:val="28"/>
        </w:rPr>
        <w:t>3.1专业建设</w:t>
      </w:r>
      <w:r>
        <w:tab/>
      </w:r>
      <w:r>
        <w:fldChar w:fldCharType="begin"/>
      </w:r>
      <w:r>
        <w:instrText xml:space="preserve"> PAGEREF _Toc10472 \h </w:instrText>
      </w:r>
      <w:r>
        <w:fldChar w:fldCharType="separate"/>
      </w:r>
      <w:r>
        <w:t>8</w:t>
      </w:r>
      <w:r>
        <w:fldChar w:fldCharType="end"/>
      </w:r>
      <w:r>
        <w:fldChar w:fldCharType="end"/>
      </w:r>
    </w:p>
    <w:p>
      <w:pPr>
        <w:pStyle w:val="18"/>
        <w:tabs>
          <w:tab w:val="right" w:leader="dot" w:pos="8306"/>
          <w:tab w:val="clear" w:pos="8296"/>
        </w:tabs>
      </w:pPr>
      <w:r>
        <w:fldChar w:fldCharType="begin"/>
      </w:r>
      <w:r>
        <w:instrText xml:space="preserve"> HYPERLINK \l "_Toc1398" </w:instrText>
      </w:r>
      <w:r>
        <w:fldChar w:fldCharType="separate"/>
      </w:r>
      <w:r>
        <w:rPr>
          <w:rFonts w:eastAsia="黑体"/>
          <w:szCs w:val="28"/>
        </w:rPr>
        <w:t>3.2</w:t>
      </w:r>
      <w:r>
        <w:rPr>
          <w:rFonts w:hint="eastAsia" w:eastAsia="黑体"/>
          <w:szCs w:val="28"/>
        </w:rPr>
        <w:t>课程</w:t>
      </w:r>
      <w:r>
        <w:rPr>
          <w:rFonts w:eastAsia="黑体"/>
          <w:szCs w:val="28"/>
        </w:rPr>
        <w:t>建设</w:t>
      </w:r>
      <w:r>
        <w:tab/>
      </w:r>
      <w:r>
        <w:fldChar w:fldCharType="begin"/>
      </w:r>
      <w:r>
        <w:instrText xml:space="preserve"> PAGEREF _Toc1398 \h </w:instrText>
      </w:r>
      <w:r>
        <w:fldChar w:fldCharType="separate"/>
      </w:r>
      <w:r>
        <w:t>8</w:t>
      </w:r>
      <w:r>
        <w:fldChar w:fldCharType="end"/>
      </w:r>
      <w:r>
        <w:fldChar w:fldCharType="end"/>
      </w:r>
    </w:p>
    <w:p>
      <w:pPr>
        <w:pStyle w:val="18"/>
        <w:tabs>
          <w:tab w:val="right" w:leader="dot" w:pos="8306"/>
          <w:tab w:val="clear" w:pos="8296"/>
        </w:tabs>
      </w:pPr>
      <w:r>
        <w:fldChar w:fldCharType="begin"/>
      </w:r>
      <w:r>
        <w:instrText xml:space="preserve"> HYPERLINK \l "_Toc27882" </w:instrText>
      </w:r>
      <w:r>
        <w:fldChar w:fldCharType="separate"/>
      </w:r>
      <w:r>
        <w:rPr>
          <w:rFonts w:hint="eastAsia" w:eastAsia="黑体"/>
          <w:szCs w:val="28"/>
        </w:rPr>
        <w:t>3.3教材建设</w:t>
      </w:r>
      <w:r>
        <w:tab/>
      </w:r>
      <w:r>
        <w:fldChar w:fldCharType="begin"/>
      </w:r>
      <w:r>
        <w:instrText xml:space="preserve"> PAGEREF _Toc27882 \h </w:instrText>
      </w:r>
      <w:r>
        <w:fldChar w:fldCharType="separate"/>
      </w:r>
      <w:r>
        <w:t>9</w:t>
      </w:r>
      <w:r>
        <w:fldChar w:fldCharType="end"/>
      </w:r>
      <w:r>
        <w:fldChar w:fldCharType="end"/>
      </w:r>
    </w:p>
    <w:p>
      <w:pPr>
        <w:pStyle w:val="18"/>
        <w:tabs>
          <w:tab w:val="right" w:leader="dot" w:pos="8306"/>
          <w:tab w:val="clear" w:pos="8296"/>
        </w:tabs>
      </w:pPr>
      <w:r>
        <w:fldChar w:fldCharType="begin"/>
      </w:r>
      <w:r>
        <w:instrText xml:space="preserve"> HYPERLINK \l "_Toc28194" </w:instrText>
      </w:r>
      <w:r>
        <w:fldChar w:fldCharType="separate"/>
      </w:r>
      <w:r>
        <w:rPr>
          <w:rFonts w:eastAsia="黑体"/>
          <w:szCs w:val="28"/>
        </w:rPr>
        <w:t>3.4实践教学</w:t>
      </w:r>
      <w:r>
        <w:tab/>
      </w:r>
      <w:r>
        <w:fldChar w:fldCharType="begin"/>
      </w:r>
      <w:r>
        <w:instrText xml:space="preserve"> PAGEREF _Toc28194 \h </w:instrText>
      </w:r>
      <w:r>
        <w:fldChar w:fldCharType="separate"/>
      </w:r>
      <w:r>
        <w:t>9</w:t>
      </w:r>
      <w:r>
        <w:fldChar w:fldCharType="end"/>
      </w:r>
      <w:r>
        <w:fldChar w:fldCharType="end"/>
      </w:r>
    </w:p>
    <w:p>
      <w:pPr>
        <w:pStyle w:val="18"/>
        <w:tabs>
          <w:tab w:val="right" w:leader="dot" w:pos="8306"/>
          <w:tab w:val="clear" w:pos="8296"/>
        </w:tabs>
      </w:pPr>
      <w:r>
        <w:fldChar w:fldCharType="begin"/>
      </w:r>
      <w:r>
        <w:instrText xml:space="preserve"> HYPERLINK \l "_Toc30450" </w:instrText>
      </w:r>
      <w:r>
        <w:fldChar w:fldCharType="separate"/>
      </w:r>
      <w:r>
        <w:rPr>
          <w:rFonts w:eastAsia="黑体"/>
          <w:szCs w:val="28"/>
        </w:rPr>
        <w:t>3.5教学改革</w:t>
      </w:r>
      <w:r>
        <w:tab/>
      </w:r>
      <w:r>
        <w:fldChar w:fldCharType="begin"/>
      </w:r>
      <w:r>
        <w:instrText xml:space="preserve"> PAGEREF _Toc30450 \h </w:instrText>
      </w:r>
      <w:r>
        <w:fldChar w:fldCharType="separate"/>
      </w:r>
      <w:r>
        <w:t>10</w:t>
      </w:r>
      <w:r>
        <w:fldChar w:fldCharType="end"/>
      </w:r>
      <w:r>
        <w:fldChar w:fldCharType="end"/>
      </w:r>
    </w:p>
    <w:p>
      <w:pPr>
        <w:pStyle w:val="18"/>
        <w:tabs>
          <w:tab w:val="right" w:leader="dot" w:pos="8306"/>
          <w:tab w:val="clear" w:pos="8296"/>
        </w:tabs>
      </w:pPr>
      <w:r>
        <w:fldChar w:fldCharType="begin"/>
      </w:r>
      <w:r>
        <w:instrText xml:space="preserve"> HYPERLINK \l "_Toc23949" </w:instrText>
      </w:r>
      <w:r>
        <w:fldChar w:fldCharType="separate"/>
      </w:r>
      <w:r>
        <w:rPr>
          <w:rFonts w:eastAsia="黑体"/>
          <w:szCs w:val="28"/>
        </w:rPr>
        <w:t>3.6创新创业教育</w:t>
      </w:r>
      <w:r>
        <w:tab/>
      </w:r>
      <w:r>
        <w:fldChar w:fldCharType="begin"/>
      </w:r>
      <w:r>
        <w:instrText xml:space="preserve"> PAGEREF _Toc23949 \h </w:instrText>
      </w:r>
      <w:r>
        <w:fldChar w:fldCharType="separate"/>
      </w:r>
      <w:r>
        <w:t>11</w:t>
      </w:r>
      <w:r>
        <w:fldChar w:fldCharType="end"/>
      </w:r>
      <w:r>
        <w:fldChar w:fldCharType="end"/>
      </w:r>
    </w:p>
    <w:p>
      <w:pPr>
        <w:pStyle w:val="17"/>
        <w:tabs>
          <w:tab w:val="right" w:leader="dot" w:pos="8306"/>
          <w:tab w:val="clear" w:pos="8296"/>
        </w:tabs>
        <w:spacing w:before="156"/>
      </w:pPr>
      <w:r>
        <w:fldChar w:fldCharType="begin"/>
      </w:r>
      <w:r>
        <w:instrText xml:space="preserve"> HYPERLINK \l "_Toc29513" </w:instrText>
      </w:r>
      <w:r>
        <w:fldChar w:fldCharType="separate"/>
      </w:r>
      <w:r>
        <w:rPr>
          <w:rFonts w:eastAsia="黑体"/>
          <w:bCs/>
          <w:szCs w:val="30"/>
        </w:rPr>
        <w:t>四、专业培养能力</w:t>
      </w:r>
      <w:r>
        <w:tab/>
      </w:r>
      <w:r>
        <w:fldChar w:fldCharType="begin"/>
      </w:r>
      <w:r>
        <w:instrText xml:space="preserve"> PAGEREF _Toc29513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"_Toc12123" </w:instrText>
      </w:r>
      <w:r>
        <w:fldChar w:fldCharType="separate"/>
      </w:r>
      <w:r>
        <w:rPr>
          <w:rFonts w:eastAsia="黑体"/>
          <w:szCs w:val="28"/>
          <w:lang w:eastAsia="zh-Hans"/>
        </w:rPr>
        <w:t>4.1明确</w:t>
      </w:r>
      <w:r>
        <w:rPr>
          <w:rFonts w:hint="eastAsia" w:eastAsia="黑体"/>
          <w:szCs w:val="28"/>
        </w:rPr>
        <w:t>医学教育</w:t>
      </w:r>
      <w:r>
        <w:rPr>
          <w:rFonts w:eastAsia="黑体"/>
          <w:szCs w:val="28"/>
          <w:lang w:eastAsia="zh-Hans"/>
        </w:rPr>
        <w:t>新要求</w:t>
      </w:r>
      <w:r>
        <w:tab/>
      </w:r>
      <w:r>
        <w:fldChar w:fldCharType="begin"/>
      </w:r>
      <w:r>
        <w:instrText xml:space="preserve"> PAGEREF _Toc12123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"_Toc13696" </w:instrText>
      </w:r>
      <w:r>
        <w:fldChar w:fldCharType="separate"/>
      </w:r>
      <w:r>
        <w:rPr>
          <w:rFonts w:eastAsia="黑体"/>
          <w:szCs w:val="28"/>
        </w:rPr>
        <w:t>4.2挖掘教书育人新活力</w:t>
      </w:r>
      <w:r>
        <w:tab/>
      </w:r>
      <w:r>
        <w:fldChar w:fldCharType="begin"/>
      </w:r>
      <w:r>
        <w:instrText xml:space="preserve"> PAGEREF _Toc13696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"_Toc7535" </w:instrText>
      </w:r>
      <w:r>
        <w:fldChar w:fldCharType="separate"/>
      </w:r>
      <w:r>
        <w:rPr>
          <w:rFonts w:eastAsia="黑体"/>
          <w:szCs w:val="28"/>
          <w:lang w:eastAsia="zh-Hans"/>
        </w:rPr>
        <w:t>4.</w:t>
      </w:r>
      <w:r>
        <w:rPr>
          <w:rFonts w:eastAsia="黑体"/>
          <w:szCs w:val="28"/>
        </w:rPr>
        <w:t>3</w:t>
      </w:r>
      <w:r>
        <w:rPr>
          <w:rFonts w:hint="eastAsia" w:eastAsia="黑体"/>
          <w:szCs w:val="28"/>
        </w:rPr>
        <w:t xml:space="preserve"> 优化学科专业新布局</w:t>
      </w:r>
      <w:r>
        <w:tab/>
      </w:r>
      <w:r>
        <w:fldChar w:fldCharType="begin"/>
      </w:r>
      <w:r>
        <w:instrText xml:space="preserve"> PAGEREF _Toc7535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"_Toc14907" </w:instrText>
      </w:r>
      <w:r>
        <w:fldChar w:fldCharType="separate"/>
      </w:r>
      <w:r>
        <w:rPr>
          <w:rFonts w:hint="eastAsia" w:eastAsia="黑体"/>
          <w:szCs w:val="28"/>
        </w:rPr>
        <w:t>4.4突出专业集群新发展</w:t>
      </w:r>
      <w:r>
        <w:tab/>
      </w:r>
      <w:r>
        <w:fldChar w:fldCharType="begin"/>
      </w:r>
      <w:r>
        <w:instrText xml:space="preserve"> PAGEREF _Toc14907 \h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"_Toc23294" </w:instrText>
      </w:r>
      <w:r>
        <w:fldChar w:fldCharType="separate"/>
      </w:r>
      <w:r>
        <w:rPr>
          <w:rFonts w:hint="eastAsia" w:eastAsia="黑体"/>
          <w:szCs w:val="28"/>
        </w:rPr>
        <w:t>4.5 深化人才培养新模式</w:t>
      </w:r>
      <w:r>
        <w:tab/>
      </w:r>
      <w:r>
        <w:fldChar w:fldCharType="begin"/>
      </w:r>
      <w:r>
        <w:instrText xml:space="preserve"> PAGEREF _Toc23294 \h </w:instrText>
      </w:r>
      <w:r>
        <w:fldChar w:fldCharType="separate"/>
      </w:r>
      <w:r>
        <w:t>13</w:t>
      </w:r>
      <w:r>
        <w:fldChar w:fldCharType="end"/>
      </w:r>
      <w:r>
        <w:fldChar w:fldCharType="end"/>
      </w:r>
    </w:p>
    <w:p>
      <w:pPr>
        <w:pStyle w:val="17"/>
        <w:tabs>
          <w:tab w:val="right" w:leader="dot" w:pos="8306"/>
          <w:tab w:val="clear" w:pos="8296"/>
        </w:tabs>
        <w:spacing w:before="156"/>
      </w:pPr>
      <w:r>
        <w:fldChar w:fldCharType="begin"/>
      </w:r>
      <w:r>
        <w:instrText xml:space="preserve"> HYPERLINK \l "_Toc29808" </w:instrText>
      </w:r>
      <w:r>
        <w:fldChar w:fldCharType="separate"/>
      </w:r>
      <w:r>
        <w:rPr>
          <w:rFonts w:eastAsia="黑体"/>
          <w:bCs/>
          <w:szCs w:val="30"/>
        </w:rPr>
        <w:t>五、质量保障体系</w:t>
      </w:r>
      <w:r>
        <w:tab/>
      </w:r>
      <w:r>
        <w:fldChar w:fldCharType="begin"/>
      </w:r>
      <w:r>
        <w:instrText xml:space="preserve"> PAGEREF _Toc29808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"_Toc20823" </w:instrText>
      </w:r>
      <w:r>
        <w:fldChar w:fldCharType="separate"/>
      </w:r>
      <w:r>
        <w:rPr>
          <w:rFonts w:eastAsia="黑体"/>
          <w:szCs w:val="28"/>
          <w:lang w:eastAsia="zh-Hans"/>
        </w:rPr>
        <w:t>5.1</w:t>
      </w:r>
      <w:r>
        <w:rPr>
          <w:rFonts w:hint="eastAsia" w:eastAsia="黑体"/>
          <w:szCs w:val="28"/>
        </w:rPr>
        <w:t>坚持本科教学工作中心地位</w:t>
      </w:r>
      <w:r>
        <w:tab/>
      </w:r>
      <w:r>
        <w:fldChar w:fldCharType="begin"/>
      </w:r>
      <w:r>
        <w:instrText xml:space="preserve"> PAGEREF _Toc20823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"_Toc10657" </w:instrText>
      </w:r>
      <w:r>
        <w:fldChar w:fldCharType="separate"/>
      </w:r>
      <w:r>
        <w:rPr>
          <w:rFonts w:eastAsia="黑体"/>
          <w:szCs w:val="28"/>
        </w:rPr>
        <w:t>5.2</w:t>
      </w:r>
      <w:r>
        <w:rPr>
          <w:rFonts w:hint="eastAsia" w:eastAsia="黑体"/>
          <w:szCs w:val="28"/>
        </w:rPr>
        <w:t>完善</w:t>
      </w:r>
      <w:r>
        <w:rPr>
          <w:rFonts w:eastAsia="黑体"/>
          <w:szCs w:val="28"/>
        </w:rPr>
        <w:t>教学质量保障体系</w:t>
      </w:r>
      <w:r>
        <w:tab/>
      </w:r>
      <w:r>
        <w:fldChar w:fldCharType="begin"/>
      </w:r>
      <w:r>
        <w:instrText xml:space="preserve"> PAGEREF _Toc10657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"_Toc21428" </w:instrText>
      </w:r>
      <w:r>
        <w:fldChar w:fldCharType="separate"/>
      </w:r>
      <w:r>
        <w:rPr>
          <w:rFonts w:eastAsia="黑体"/>
          <w:szCs w:val="28"/>
        </w:rPr>
        <w:t>5.</w:t>
      </w:r>
      <w:r>
        <w:rPr>
          <w:rFonts w:hint="eastAsia" w:eastAsia="黑体"/>
          <w:szCs w:val="28"/>
        </w:rPr>
        <w:t>3加强</w:t>
      </w:r>
      <w:r>
        <w:rPr>
          <w:rFonts w:eastAsia="黑体"/>
          <w:szCs w:val="28"/>
        </w:rPr>
        <w:t>日常教学质量监控</w:t>
      </w:r>
      <w:r>
        <w:tab/>
      </w:r>
      <w:r>
        <w:fldChar w:fldCharType="begin"/>
      </w:r>
      <w:r>
        <w:instrText xml:space="preserve"> PAGEREF _Toc21428 \h </w:instrText>
      </w:r>
      <w:r>
        <w:fldChar w:fldCharType="separate"/>
      </w:r>
      <w:r>
        <w:t>13</w:t>
      </w:r>
      <w:r>
        <w:fldChar w:fldCharType="end"/>
      </w:r>
      <w:r>
        <w:fldChar w:fldCharType="end"/>
      </w:r>
    </w:p>
    <w:p>
      <w:pPr>
        <w:pStyle w:val="18"/>
        <w:tabs>
          <w:tab w:val="right" w:leader="dot" w:pos="8306"/>
          <w:tab w:val="clear" w:pos="8296"/>
        </w:tabs>
      </w:pPr>
      <w:r>
        <w:fldChar w:fldCharType="begin"/>
      </w:r>
      <w:r>
        <w:instrText xml:space="preserve"> HYPERLINK \l "_Toc31958" </w:instrText>
      </w:r>
      <w:r>
        <w:fldChar w:fldCharType="separate"/>
      </w:r>
      <w:r>
        <w:rPr>
          <w:rFonts w:hint="eastAsia" w:eastAsia="黑体"/>
          <w:szCs w:val="28"/>
        </w:rPr>
        <w:t>5.4落实教学质量考核工作</w:t>
      </w:r>
      <w:r>
        <w:tab/>
      </w:r>
      <w:r>
        <w:fldChar w:fldCharType="begin"/>
      </w:r>
      <w:r>
        <w:instrText xml:space="preserve"> PAGEREF _Toc31958 \h </w:instrText>
      </w:r>
      <w:r>
        <w:fldChar w:fldCharType="separate"/>
      </w:r>
      <w:r>
        <w:t>14</w:t>
      </w:r>
      <w:r>
        <w:fldChar w:fldCharType="end"/>
      </w:r>
      <w:r>
        <w:fldChar w:fldCharType="end"/>
      </w:r>
    </w:p>
    <w:p>
      <w:pPr>
        <w:pStyle w:val="17"/>
        <w:tabs>
          <w:tab w:val="right" w:leader="dot" w:pos="8306"/>
          <w:tab w:val="clear" w:pos="8296"/>
        </w:tabs>
        <w:spacing w:before="156"/>
      </w:pPr>
      <w:r>
        <w:fldChar w:fldCharType="begin"/>
      </w:r>
      <w:r>
        <w:instrText xml:space="preserve"> HYPERLINK \l "_Toc2773" </w:instrText>
      </w:r>
      <w:r>
        <w:fldChar w:fldCharType="separate"/>
      </w:r>
      <w:r>
        <w:rPr>
          <w:rFonts w:hint="eastAsia" w:eastAsia="黑体"/>
          <w:bCs/>
          <w:szCs w:val="30"/>
        </w:rPr>
        <w:t>六、学生管理与服务</w:t>
      </w:r>
      <w:r>
        <w:tab/>
      </w:r>
      <w:r>
        <w:fldChar w:fldCharType="begin"/>
      </w:r>
      <w:r>
        <w:instrText xml:space="preserve"> PAGEREF _Toc2773 \h </w:instrText>
      </w:r>
      <w:r>
        <w:fldChar w:fldCharType="separate"/>
      </w:r>
      <w:r>
        <w:t>14</w:t>
      </w:r>
      <w:r>
        <w:fldChar w:fldCharType="end"/>
      </w:r>
      <w:r>
        <w:fldChar w:fldCharType="end"/>
      </w:r>
    </w:p>
    <w:p>
      <w:pPr>
        <w:pStyle w:val="18"/>
        <w:tabs>
          <w:tab w:val="right" w:leader="dot" w:pos="8306"/>
          <w:tab w:val="clear" w:pos="8296"/>
        </w:tabs>
      </w:pPr>
      <w:r>
        <w:fldChar w:fldCharType="begin"/>
      </w:r>
      <w:r>
        <w:instrText xml:space="preserve"> HYPERLINK \l "_Toc1625" </w:instrText>
      </w:r>
      <w:r>
        <w:fldChar w:fldCharType="separate"/>
      </w:r>
      <w:r>
        <w:rPr>
          <w:rFonts w:hint="eastAsia" w:eastAsia="黑体"/>
          <w:szCs w:val="28"/>
        </w:rPr>
        <w:t>6.1守土有责，筑牢校园安全稳定屏障</w:t>
      </w:r>
      <w:r>
        <w:tab/>
      </w:r>
      <w:r>
        <w:fldChar w:fldCharType="begin"/>
      </w:r>
      <w:r>
        <w:instrText xml:space="preserve"> PAGEREF _Toc1625 \h </w:instrText>
      </w:r>
      <w:r>
        <w:fldChar w:fldCharType="separate"/>
      </w:r>
      <w:r>
        <w:t>14</w:t>
      </w:r>
      <w:r>
        <w:fldChar w:fldCharType="end"/>
      </w:r>
      <w:r>
        <w:fldChar w:fldCharType="end"/>
      </w:r>
    </w:p>
    <w:p>
      <w:pPr>
        <w:pStyle w:val="18"/>
        <w:tabs>
          <w:tab w:val="right" w:leader="dot" w:pos="8306"/>
          <w:tab w:val="clear" w:pos="8296"/>
        </w:tabs>
      </w:pPr>
      <w:r>
        <w:fldChar w:fldCharType="begin"/>
      </w:r>
      <w:r>
        <w:instrText xml:space="preserve"> HYPERLINK \l "_Toc7734" </w:instrText>
      </w:r>
      <w:r>
        <w:fldChar w:fldCharType="separate"/>
      </w:r>
      <w:r>
        <w:rPr>
          <w:rFonts w:hint="eastAsia" w:eastAsia="黑体"/>
          <w:szCs w:val="28"/>
        </w:rPr>
        <w:t>6.2围绕大局、紧扣重点，强化学生思想文化引领</w:t>
      </w:r>
      <w:r>
        <w:tab/>
      </w:r>
      <w:r>
        <w:fldChar w:fldCharType="begin"/>
      </w:r>
      <w:r>
        <w:instrText xml:space="preserve"> PAGEREF _Toc7734 \h </w:instrText>
      </w:r>
      <w:r>
        <w:fldChar w:fldCharType="separate"/>
      </w:r>
      <w:r>
        <w:t>15</w:t>
      </w:r>
      <w:r>
        <w:fldChar w:fldCharType="end"/>
      </w:r>
      <w:r>
        <w:fldChar w:fldCharType="end"/>
      </w:r>
    </w:p>
    <w:p>
      <w:pPr>
        <w:pStyle w:val="18"/>
        <w:tabs>
          <w:tab w:val="right" w:leader="dot" w:pos="8306"/>
          <w:tab w:val="clear" w:pos="8296"/>
        </w:tabs>
      </w:pPr>
      <w:r>
        <w:fldChar w:fldCharType="begin"/>
      </w:r>
      <w:r>
        <w:instrText xml:space="preserve"> HYPERLINK \l "_Toc1683" </w:instrText>
      </w:r>
      <w:r>
        <w:fldChar w:fldCharType="separate"/>
      </w:r>
      <w:r>
        <w:rPr>
          <w:rFonts w:hint="eastAsia" w:eastAsia="黑体"/>
          <w:szCs w:val="28"/>
        </w:rPr>
        <w:t>6.3全员参与、精准施策，指导学生生涯发展</w:t>
      </w:r>
      <w:r>
        <w:tab/>
      </w:r>
      <w:r>
        <w:fldChar w:fldCharType="begin"/>
      </w:r>
      <w:r>
        <w:instrText xml:space="preserve"> PAGEREF _Toc1683 \h </w:instrText>
      </w:r>
      <w:r>
        <w:fldChar w:fldCharType="separate"/>
      </w:r>
      <w:r>
        <w:t>16</w:t>
      </w:r>
      <w:r>
        <w:fldChar w:fldCharType="end"/>
      </w:r>
      <w:r>
        <w:fldChar w:fldCharType="end"/>
      </w:r>
    </w:p>
    <w:p>
      <w:pPr>
        <w:pStyle w:val="18"/>
        <w:tabs>
          <w:tab w:val="right" w:leader="dot" w:pos="8306"/>
          <w:tab w:val="clear" w:pos="8296"/>
        </w:tabs>
      </w:pPr>
      <w:r>
        <w:fldChar w:fldCharType="begin"/>
      </w:r>
      <w:r>
        <w:instrText xml:space="preserve"> HYPERLINK \l "_Toc4118" </w:instrText>
      </w:r>
      <w:r>
        <w:fldChar w:fldCharType="separate"/>
      </w:r>
      <w:r>
        <w:rPr>
          <w:rFonts w:hint="eastAsia" w:eastAsia="黑体"/>
          <w:szCs w:val="28"/>
        </w:rPr>
        <w:t>6.4教育引导、监督约束，强化学风建设与文明养成</w:t>
      </w:r>
      <w:r>
        <w:tab/>
      </w:r>
      <w:r>
        <w:fldChar w:fldCharType="begin"/>
      </w:r>
      <w:r>
        <w:instrText xml:space="preserve"> PAGEREF _Toc4118 \h </w:instrText>
      </w:r>
      <w:r>
        <w:fldChar w:fldCharType="separate"/>
      </w:r>
      <w:r>
        <w:t>17</w:t>
      </w:r>
      <w:r>
        <w:fldChar w:fldCharType="end"/>
      </w:r>
      <w:r>
        <w:fldChar w:fldCharType="end"/>
      </w:r>
    </w:p>
    <w:p>
      <w:pPr>
        <w:pStyle w:val="18"/>
        <w:tabs>
          <w:tab w:val="right" w:leader="dot" w:pos="8306"/>
          <w:tab w:val="clear" w:pos="8296"/>
        </w:tabs>
      </w:pPr>
      <w:r>
        <w:fldChar w:fldCharType="begin"/>
      </w:r>
      <w:r>
        <w:instrText xml:space="preserve"> HYPERLINK \l "_Toc29806" </w:instrText>
      </w:r>
      <w:r>
        <w:fldChar w:fldCharType="separate"/>
      </w:r>
      <w:r>
        <w:rPr>
          <w:rFonts w:hint="eastAsia" w:eastAsia="黑体"/>
          <w:szCs w:val="28"/>
        </w:rPr>
        <w:t>6.5系统思考、强化育人，全面落实资助育人成效</w:t>
      </w:r>
      <w:r>
        <w:tab/>
      </w:r>
      <w:r>
        <w:fldChar w:fldCharType="begin"/>
      </w:r>
      <w:r>
        <w:instrText xml:space="preserve"> PAGEREF _Toc29806 \h </w:instrText>
      </w:r>
      <w:r>
        <w:fldChar w:fldCharType="separate"/>
      </w:r>
      <w:r>
        <w:t>17</w:t>
      </w:r>
      <w:r>
        <w:fldChar w:fldCharType="end"/>
      </w:r>
      <w:r>
        <w:fldChar w:fldCharType="end"/>
      </w:r>
    </w:p>
    <w:p>
      <w:pPr>
        <w:pStyle w:val="18"/>
        <w:tabs>
          <w:tab w:val="right" w:leader="dot" w:pos="8306"/>
          <w:tab w:val="clear" w:pos="8296"/>
        </w:tabs>
      </w:pPr>
      <w:r>
        <w:fldChar w:fldCharType="begin"/>
      </w:r>
      <w:r>
        <w:instrText xml:space="preserve"> HYPERLINK \l "_Toc10931" </w:instrText>
      </w:r>
      <w:r>
        <w:fldChar w:fldCharType="separate"/>
      </w:r>
      <w:r>
        <w:rPr>
          <w:rFonts w:hint="eastAsia" w:eastAsia="黑体"/>
          <w:szCs w:val="28"/>
        </w:rPr>
        <w:t>6.6集中服务、规范管理，提升学生在校生活体验</w:t>
      </w:r>
      <w:r>
        <w:tab/>
      </w:r>
      <w:r>
        <w:fldChar w:fldCharType="begin"/>
      </w:r>
      <w:r>
        <w:instrText xml:space="preserve"> PAGEREF _Toc10931 \h </w:instrText>
      </w:r>
      <w:r>
        <w:fldChar w:fldCharType="separate"/>
      </w:r>
      <w:r>
        <w:t>18</w:t>
      </w:r>
      <w:r>
        <w:fldChar w:fldCharType="end"/>
      </w:r>
      <w:r>
        <w:fldChar w:fldCharType="end"/>
      </w:r>
    </w:p>
    <w:p>
      <w:pPr>
        <w:pStyle w:val="17"/>
        <w:tabs>
          <w:tab w:val="right" w:leader="dot" w:pos="8306"/>
          <w:tab w:val="clear" w:pos="8296"/>
        </w:tabs>
        <w:spacing w:before="156"/>
      </w:pPr>
      <w:r>
        <w:fldChar w:fldCharType="begin"/>
      </w:r>
      <w:r>
        <w:instrText xml:space="preserve"> HYPERLINK \l "_Toc27689" </w:instrText>
      </w:r>
      <w:r>
        <w:fldChar w:fldCharType="separate"/>
      </w:r>
      <w:r>
        <w:rPr>
          <w:rFonts w:hint="eastAsia" w:eastAsia="黑体"/>
          <w:szCs w:val="30"/>
        </w:rPr>
        <w:t>七</w:t>
      </w:r>
      <w:r>
        <w:rPr>
          <w:rFonts w:eastAsia="黑体"/>
          <w:szCs w:val="30"/>
        </w:rPr>
        <w:t>、学生学习效果</w:t>
      </w:r>
      <w:r>
        <w:tab/>
      </w:r>
      <w:r>
        <w:fldChar w:fldCharType="begin"/>
      </w:r>
      <w:r>
        <w:instrText xml:space="preserve"> PAGEREF _Toc27689 \h </w:instrText>
      </w:r>
      <w:r>
        <w:fldChar w:fldCharType="separate"/>
      </w:r>
      <w:r>
        <w:t>18</w:t>
      </w:r>
      <w:r>
        <w:fldChar w:fldCharType="end"/>
      </w:r>
      <w:r>
        <w:fldChar w:fldCharType="end"/>
      </w:r>
    </w:p>
    <w:p>
      <w:pPr>
        <w:pStyle w:val="18"/>
        <w:tabs>
          <w:tab w:val="right" w:leader="dot" w:pos="8306"/>
          <w:tab w:val="clear" w:pos="8296"/>
        </w:tabs>
      </w:pPr>
      <w:r>
        <w:fldChar w:fldCharType="begin"/>
      </w:r>
      <w:r>
        <w:instrText xml:space="preserve"> HYPERLINK \l "_Toc4197" </w:instrText>
      </w:r>
      <w:r>
        <w:fldChar w:fldCharType="separate"/>
      </w:r>
      <w:r>
        <w:rPr>
          <w:rFonts w:hint="eastAsia" w:eastAsia="黑体"/>
          <w:szCs w:val="28"/>
        </w:rPr>
        <w:t>7</w:t>
      </w:r>
      <w:r>
        <w:rPr>
          <w:rFonts w:eastAsia="黑体"/>
          <w:szCs w:val="28"/>
        </w:rPr>
        <w:t>.1毕业情况</w:t>
      </w:r>
      <w:r>
        <w:tab/>
      </w:r>
      <w:r>
        <w:fldChar w:fldCharType="begin"/>
      </w:r>
      <w:r>
        <w:instrText xml:space="preserve"> PAGEREF _Toc4197 \h </w:instrText>
      </w:r>
      <w:r>
        <w:fldChar w:fldCharType="separate"/>
      </w:r>
      <w:r>
        <w:t>18</w:t>
      </w:r>
      <w:r>
        <w:fldChar w:fldCharType="end"/>
      </w:r>
      <w:r>
        <w:fldChar w:fldCharType="end"/>
      </w:r>
    </w:p>
    <w:p>
      <w:pPr>
        <w:pStyle w:val="18"/>
        <w:tabs>
          <w:tab w:val="right" w:leader="dot" w:pos="8306"/>
          <w:tab w:val="clear" w:pos="8296"/>
        </w:tabs>
      </w:pPr>
      <w:r>
        <w:fldChar w:fldCharType="begin"/>
      </w:r>
      <w:r>
        <w:instrText xml:space="preserve"> HYPERLINK \l "_Toc27019" </w:instrText>
      </w:r>
      <w:r>
        <w:fldChar w:fldCharType="separate"/>
      </w:r>
      <w:r>
        <w:rPr>
          <w:rFonts w:hint="eastAsia" w:eastAsia="黑体"/>
          <w:szCs w:val="28"/>
        </w:rPr>
        <w:t>7</w:t>
      </w:r>
      <w:r>
        <w:rPr>
          <w:rFonts w:eastAsia="黑体"/>
          <w:szCs w:val="28"/>
        </w:rPr>
        <w:t>.2就业情况</w:t>
      </w:r>
      <w:r>
        <w:tab/>
      </w:r>
      <w:r>
        <w:fldChar w:fldCharType="begin"/>
      </w:r>
      <w:r>
        <w:instrText xml:space="preserve"> PAGEREF _Toc27019 \h </w:instrText>
      </w:r>
      <w:r>
        <w:fldChar w:fldCharType="separate"/>
      </w:r>
      <w:r>
        <w:t>19</w:t>
      </w:r>
      <w:r>
        <w:fldChar w:fldCharType="end"/>
      </w:r>
      <w:r>
        <w:fldChar w:fldCharType="end"/>
      </w:r>
    </w:p>
    <w:p>
      <w:pPr>
        <w:pStyle w:val="18"/>
        <w:tabs>
          <w:tab w:val="right" w:leader="dot" w:pos="8306"/>
          <w:tab w:val="clear" w:pos="8296"/>
        </w:tabs>
      </w:pPr>
      <w:r>
        <w:fldChar w:fldCharType="begin"/>
      </w:r>
      <w:r>
        <w:instrText xml:space="preserve"> HYPERLINK \l "_Toc19830" </w:instrText>
      </w:r>
      <w:r>
        <w:fldChar w:fldCharType="separate"/>
      </w:r>
      <w:r>
        <w:rPr>
          <w:rFonts w:hint="eastAsia" w:eastAsia="黑体"/>
          <w:szCs w:val="28"/>
        </w:rPr>
        <w:t>7</w:t>
      </w:r>
      <w:r>
        <w:rPr>
          <w:rFonts w:eastAsia="黑体"/>
          <w:szCs w:val="28"/>
        </w:rPr>
        <w:t>.3学生获奖情况</w:t>
      </w:r>
      <w:r>
        <w:tab/>
      </w:r>
      <w:r>
        <w:fldChar w:fldCharType="begin"/>
      </w:r>
      <w:r>
        <w:instrText xml:space="preserve"> PAGEREF _Toc19830 \h </w:instrText>
      </w:r>
      <w:r>
        <w:fldChar w:fldCharType="separate"/>
      </w:r>
      <w:r>
        <w:t>19</w:t>
      </w:r>
      <w:r>
        <w:fldChar w:fldCharType="end"/>
      </w:r>
      <w:r>
        <w:fldChar w:fldCharType="end"/>
      </w:r>
    </w:p>
    <w:p>
      <w:pPr>
        <w:pStyle w:val="18"/>
        <w:tabs>
          <w:tab w:val="right" w:leader="dot" w:pos="8306"/>
          <w:tab w:val="clear" w:pos="8296"/>
        </w:tabs>
      </w:pPr>
      <w:r>
        <w:fldChar w:fldCharType="begin"/>
      </w:r>
      <w:r>
        <w:instrText xml:space="preserve"> HYPERLINK \l "_Toc20685" </w:instrText>
      </w:r>
      <w:r>
        <w:fldChar w:fldCharType="separate"/>
      </w:r>
      <w:r>
        <w:rPr>
          <w:rFonts w:hint="eastAsia" w:eastAsia="黑体"/>
          <w:szCs w:val="28"/>
        </w:rPr>
        <w:t>7</w:t>
      </w:r>
      <w:r>
        <w:rPr>
          <w:rFonts w:eastAsia="黑体"/>
          <w:szCs w:val="28"/>
        </w:rPr>
        <w:t>.4 学生体质测试</w:t>
      </w:r>
      <w:r>
        <w:tab/>
      </w:r>
      <w:r>
        <w:fldChar w:fldCharType="begin"/>
      </w:r>
      <w:r>
        <w:instrText xml:space="preserve"> PAGEREF _Toc20685 \h </w:instrText>
      </w:r>
      <w:r>
        <w:fldChar w:fldCharType="separate"/>
      </w:r>
      <w:r>
        <w:t>20</w:t>
      </w:r>
      <w:r>
        <w:fldChar w:fldCharType="end"/>
      </w:r>
      <w:r>
        <w:fldChar w:fldCharType="end"/>
      </w:r>
    </w:p>
    <w:p>
      <w:pPr>
        <w:pStyle w:val="18"/>
        <w:tabs>
          <w:tab w:val="right" w:leader="dot" w:pos="8306"/>
          <w:tab w:val="clear" w:pos="8296"/>
        </w:tabs>
      </w:pPr>
      <w:r>
        <w:fldChar w:fldCharType="begin"/>
      </w:r>
      <w:r>
        <w:instrText xml:space="preserve"> HYPERLINK \l "_Toc498" </w:instrText>
      </w:r>
      <w:r>
        <w:fldChar w:fldCharType="separate"/>
      </w:r>
      <w:r>
        <w:rPr>
          <w:rFonts w:hint="eastAsia" w:eastAsia="黑体"/>
          <w:szCs w:val="28"/>
        </w:rPr>
        <w:t>7.5应届毕业生就业满意度</w:t>
      </w:r>
      <w:r>
        <w:tab/>
      </w:r>
      <w:r>
        <w:fldChar w:fldCharType="begin"/>
      </w:r>
      <w:r>
        <w:instrText xml:space="preserve"> PAGEREF _Toc498 \h </w:instrText>
      </w:r>
      <w:r>
        <w:fldChar w:fldCharType="separate"/>
      </w:r>
      <w:r>
        <w:t>20</w:t>
      </w:r>
      <w:r>
        <w:fldChar w:fldCharType="end"/>
      </w:r>
      <w:r>
        <w:fldChar w:fldCharType="end"/>
      </w:r>
    </w:p>
    <w:p>
      <w:pPr>
        <w:pStyle w:val="17"/>
        <w:tabs>
          <w:tab w:val="right" w:leader="dot" w:pos="8306"/>
          <w:tab w:val="clear" w:pos="8296"/>
        </w:tabs>
        <w:spacing w:before="156"/>
      </w:pPr>
      <w:r>
        <w:fldChar w:fldCharType="begin"/>
      </w:r>
      <w:r>
        <w:instrText xml:space="preserve"> HYPERLINK \l "_Toc9142" </w:instrText>
      </w:r>
      <w:r>
        <w:fldChar w:fldCharType="separate"/>
      </w:r>
      <w:r>
        <w:rPr>
          <w:rFonts w:hint="eastAsia" w:eastAsia="黑体"/>
          <w:szCs w:val="30"/>
        </w:rPr>
        <w:t>八、</w:t>
      </w:r>
      <w:r>
        <w:rPr>
          <w:rFonts w:eastAsia="黑体"/>
          <w:szCs w:val="30"/>
        </w:rPr>
        <w:t>特色发展</w:t>
      </w:r>
      <w:r>
        <w:tab/>
      </w:r>
      <w:r>
        <w:fldChar w:fldCharType="begin"/>
      </w:r>
      <w:r>
        <w:instrText xml:space="preserve"> PAGEREF _Toc9142 \h </w:instrText>
      </w:r>
      <w:r>
        <w:fldChar w:fldCharType="separate"/>
      </w:r>
      <w:r>
        <w:t>23</w:t>
      </w:r>
      <w:r>
        <w:fldChar w:fldCharType="end"/>
      </w:r>
      <w:r>
        <w:fldChar w:fldCharType="end"/>
      </w:r>
    </w:p>
    <w:p>
      <w:pPr>
        <w:pStyle w:val="18"/>
        <w:tabs>
          <w:tab w:val="right" w:leader="dot" w:pos="8306"/>
          <w:tab w:val="clear" w:pos="8296"/>
        </w:tabs>
      </w:pPr>
      <w:r>
        <w:fldChar w:fldCharType="begin"/>
      </w:r>
      <w:r>
        <w:instrText xml:space="preserve"> HYPERLINK \l "_Toc10948" </w:instrText>
      </w:r>
      <w:r>
        <w:fldChar w:fldCharType="separate"/>
      </w:r>
      <w:r>
        <w:rPr>
          <w:rFonts w:hint="eastAsia" w:eastAsia="黑体"/>
          <w:szCs w:val="28"/>
        </w:rPr>
        <w:t>8</w:t>
      </w:r>
      <w:r>
        <w:rPr>
          <w:rFonts w:eastAsia="黑体"/>
          <w:szCs w:val="28"/>
        </w:rPr>
        <w:t xml:space="preserve">.1 </w:t>
      </w:r>
      <w:r>
        <w:rPr>
          <w:rFonts w:hint="eastAsia" w:eastAsia="黑体"/>
          <w:szCs w:val="28"/>
        </w:rPr>
        <w:t>打牢教学基础，突出教学中心地位</w:t>
      </w:r>
      <w:r>
        <w:rPr>
          <w:rFonts w:eastAsia="黑体"/>
          <w:szCs w:val="28"/>
        </w:rPr>
        <w:t>，提升</w:t>
      </w:r>
      <w:r>
        <w:rPr>
          <w:rFonts w:hint="eastAsia" w:eastAsia="黑体"/>
          <w:szCs w:val="28"/>
        </w:rPr>
        <w:t>医学</w:t>
      </w:r>
      <w:r>
        <w:rPr>
          <w:rFonts w:eastAsia="黑体"/>
          <w:szCs w:val="28"/>
        </w:rPr>
        <w:t>教学质量</w:t>
      </w:r>
      <w:r>
        <w:tab/>
      </w:r>
      <w:r>
        <w:fldChar w:fldCharType="begin"/>
      </w:r>
      <w:r>
        <w:instrText xml:space="preserve"> PAGEREF _Toc10948 \h </w:instrText>
      </w:r>
      <w:r>
        <w:fldChar w:fldCharType="separate"/>
      </w:r>
      <w:r>
        <w:t>23</w:t>
      </w:r>
      <w:r>
        <w:fldChar w:fldCharType="end"/>
      </w:r>
      <w:r>
        <w:fldChar w:fldCharType="end"/>
      </w:r>
    </w:p>
    <w:p>
      <w:pPr>
        <w:pStyle w:val="18"/>
        <w:tabs>
          <w:tab w:val="right" w:leader="dot" w:pos="8306"/>
          <w:tab w:val="clear" w:pos="8296"/>
        </w:tabs>
      </w:pPr>
      <w:r>
        <w:fldChar w:fldCharType="begin"/>
      </w:r>
      <w:r>
        <w:instrText xml:space="preserve"> HYPERLINK \l "_Toc27838" </w:instrText>
      </w:r>
      <w:r>
        <w:fldChar w:fldCharType="separate"/>
      </w:r>
      <w:r>
        <w:rPr>
          <w:rFonts w:hint="eastAsia" w:eastAsia="黑体"/>
          <w:szCs w:val="28"/>
        </w:rPr>
        <w:t>8</w:t>
      </w:r>
      <w:r>
        <w:rPr>
          <w:rFonts w:eastAsia="黑体"/>
          <w:szCs w:val="28"/>
        </w:rPr>
        <w:t>.2 坚持</w:t>
      </w:r>
      <w:r>
        <w:rPr>
          <w:rFonts w:hint="eastAsia" w:eastAsia="黑体"/>
          <w:szCs w:val="28"/>
        </w:rPr>
        <w:t>立德树人，</w:t>
      </w:r>
      <w:r>
        <w:rPr>
          <w:rFonts w:eastAsia="黑体"/>
          <w:szCs w:val="28"/>
        </w:rPr>
        <w:t>注重师德示范引领</w:t>
      </w:r>
      <w:r>
        <w:rPr>
          <w:rFonts w:hint="eastAsia" w:eastAsia="黑体"/>
          <w:szCs w:val="28"/>
        </w:rPr>
        <w:t>，提升人才培养能力</w:t>
      </w:r>
      <w:r>
        <w:tab/>
      </w:r>
      <w:r>
        <w:fldChar w:fldCharType="begin"/>
      </w:r>
      <w:r>
        <w:instrText xml:space="preserve"> PAGEREF _Toc27838 \h </w:instrText>
      </w:r>
      <w:r>
        <w:fldChar w:fldCharType="separate"/>
      </w:r>
      <w:r>
        <w:t>23</w:t>
      </w:r>
      <w:r>
        <w:fldChar w:fldCharType="end"/>
      </w:r>
      <w:r>
        <w:fldChar w:fldCharType="end"/>
      </w:r>
    </w:p>
    <w:p>
      <w:pPr>
        <w:pStyle w:val="18"/>
        <w:tabs>
          <w:tab w:val="right" w:leader="dot" w:pos="8306"/>
          <w:tab w:val="clear" w:pos="8296"/>
        </w:tabs>
      </w:pPr>
      <w:r>
        <w:fldChar w:fldCharType="begin"/>
      </w:r>
      <w:r>
        <w:instrText xml:space="preserve"> HYPERLINK \l "_Toc3282" </w:instrText>
      </w:r>
      <w:r>
        <w:fldChar w:fldCharType="separate"/>
      </w:r>
      <w:r>
        <w:rPr>
          <w:rFonts w:hint="eastAsia" w:eastAsia="黑体"/>
          <w:szCs w:val="28"/>
        </w:rPr>
        <w:t>8</w:t>
      </w:r>
      <w:r>
        <w:rPr>
          <w:rFonts w:eastAsia="黑体"/>
          <w:szCs w:val="28"/>
        </w:rPr>
        <w:t>.3坚定理想信念，厚植荣校爱校情怀，培养时代新人</w:t>
      </w:r>
      <w:r>
        <w:tab/>
      </w:r>
      <w:r>
        <w:fldChar w:fldCharType="begin"/>
      </w:r>
      <w:r>
        <w:instrText xml:space="preserve"> PAGEREF _Toc3282 \h </w:instrText>
      </w:r>
      <w:r>
        <w:fldChar w:fldCharType="separate"/>
      </w:r>
      <w:r>
        <w:t>24</w:t>
      </w:r>
      <w:r>
        <w:fldChar w:fldCharType="end"/>
      </w:r>
      <w:r>
        <w:fldChar w:fldCharType="end"/>
      </w:r>
    </w:p>
    <w:p>
      <w:pPr>
        <w:pStyle w:val="17"/>
        <w:tabs>
          <w:tab w:val="right" w:leader="dot" w:pos="8306"/>
          <w:tab w:val="clear" w:pos="8296"/>
        </w:tabs>
        <w:spacing w:before="156"/>
      </w:pPr>
      <w:r>
        <w:fldChar w:fldCharType="begin"/>
      </w:r>
      <w:r>
        <w:instrText xml:space="preserve"> HYPERLINK \l "_Toc30778" </w:instrText>
      </w:r>
      <w:r>
        <w:fldChar w:fldCharType="separate"/>
      </w:r>
      <w:r>
        <w:rPr>
          <w:rFonts w:hint="eastAsia" w:eastAsia="黑体"/>
          <w:szCs w:val="30"/>
        </w:rPr>
        <w:t>九、</w:t>
      </w:r>
      <w:r>
        <w:rPr>
          <w:rFonts w:eastAsia="黑体"/>
          <w:szCs w:val="30"/>
        </w:rPr>
        <w:t>存在问题及改进计划</w:t>
      </w:r>
      <w:r>
        <w:tab/>
      </w:r>
      <w:r>
        <w:fldChar w:fldCharType="begin"/>
      </w:r>
      <w:r>
        <w:instrText xml:space="preserve"> PAGEREF _Toc30778 \h </w:instrText>
      </w:r>
      <w:r>
        <w:fldChar w:fldCharType="separate"/>
      </w:r>
      <w:r>
        <w:t>24</w:t>
      </w:r>
      <w:r>
        <w:fldChar w:fldCharType="end"/>
      </w:r>
      <w:r>
        <w:fldChar w:fldCharType="end"/>
      </w:r>
    </w:p>
    <w:p>
      <w:pPr>
        <w:pStyle w:val="18"/>
        <w:tabs>
          <w:tab w:val="right" w:leader="dot" w:pos="8306"/>
          <w:tab w:val="clear" w:pos="8296"/>
        </w:tabs>
      </w:pPr>
      <w:r>
        <w:fldChar w:fldCharType="begin"/>
      </w:r>
      <w:r>
        <w:instrText xml:space="preserve"> HYPERLINK \l "_Toc29654" </w:instrText>
      </w:r>
      <w:r>
        <w:fldChar w:fldCharType="separate"/>
      </w:r>
      <w:r>
        <w:rPr>
          <w:rFonts w:hint="eastAsia" w:eastAsia="黑体"/>
          <w:szCs w:val="28"/>
        </w:rPr>
        <w:t>9</w:t>
      </w:r>
      <w:r>
        <w:rPr>
          <w:rFonts w:eastAsia="黑体"/>
          <w:szCs w:val="28"/>
        </w:rPr>
        <w:t>.1存在问题</w:t>
      </w:r>
      <w:r>
        <w:tab/>
      </w:r>
      <w:r>
        <w:fldChar w:fldCharType="begin"/>
      </w:r>
      <w:r>
        <w:instrText xml:space="preserve"> PAGEREF _Toc29654 \h </w:instrText>
      </w:r>
      <w:r>
        <w:fldChar w:fldCharType="separate"/>
      </w:r>
      <w:r>
        <w:t>24</w:t>
      </w:r>
      <w:r>
        <w:fldChar w:fldCharType="end"/>
      </w:r>
      <w:r>
        <w:fldChar w:fldCharType="end"/>
      </w:r>
    </w:p>
    <w:p>
      <w:pPr>
        <w:pStyle w:val="18"/>
        <w:tabs>
          <w:tab w:val="right" w:leader="dot" w:pos="8306"/>
          <w:tab w:val="clear" w:pos="8296"/>
        </w:tabs>
      </w:pPr>
      <w:r>
        <w:fldChar w:fldCharType="begin"/>
      </w:r>
      <w:r>
        <w:instrText xml:space="preserve"> HYPERLINK \l "_Toc10056" </w:instrText>
      </w:r>
      <w:r>
        <w:fldChar w:fldCharType="separate"/>
      </w:r>
      <w:r>
        <w:rPr>
          <w:rFonts w:hint="eastAsia" w:eastAsia="黑体"/>
          <w:szCs w:val="28"/>
        </w:rPr>
        <w:t>9</w:t>
      </w:r>
      <w:r>
        <w:rPr>
          <w:rFonts w:eastAsia="黑体"/>
          <w:szCs w:val="28"/>
        </w:rPr>
        <w:t>.2改进计划</w:t>
      </w:r>
      <w:r>
        <w:tab/>
      </w:r>
      <w:r>
        <w:fldChar w:fldCharType="begin"/>
      </w:r>
      <w:r>
        <w:instrText xml:space="preserve"> PAGEREF _Toc10056 \h </w:instrText>
      </w:r>
      <w:r>
        <w:fldChar w:fldCharType="separate"/>
      </w:r>
      <w:r>
        <w:t>24</w:t>
      </w:r>
      <w:r>
        <w:fldChar w:fldCharType="end"/>
      </w:r>
      <w:r>
        <w:fldChar w:fldCharType="end"/>
      </w:r>
    </w:p>
    <w:p>
      <w:pPr>
        <w:pStyle w:val="17"/>
        <w:tabs>
          <w:tab w:val="right" w:leader="dot" w:pos="8306"/>
          <w:tab w:val="clear" w:pos="8296"/>
        </w:tabs>
        <w:spacing w:before="156"/>
      </w:pPr>
      <w:r>
        <w:fldChar w:fldCharType="begin"/>
      </w:r>
      <w:r>
        <w:instrText xml:space="preserve"> HYPERLINK \l "_Toc3813" </w:instrText>
      </w:r>
      <w:r>
        <w:fldChar w:fldCharType="separate"/>
      </w:r>
      <w:r>
        <w:rPr>
          <w:rFonts w:hint="eastAsia" w:ascii="黑体" w:hAnsi="黑体" w:eastAsia="黑体"/>
          <w:szCs w:val="30"/>
        </w:rPr>
        <w:t>附录</w:t>
      </w:r>
      <w:r>
        <w:tab/>
      </w:r>
      <w:r>
        <w:fldChar w:fldCharType="begin"/>
      </w:r>
      <w:r>
        <w:instrText xml:space="preserve"> PAGEREF _Toc3813 \h </w:instrText>
      </w:r>
      <w:r>
        <w:fldChar w:fldCharType="separate"/>
      </w:r>
      <w:r>
        <w:t>26</w:t>
      </w:r>
      <w:r>
        <w:fldChar w:fldCharType="end"/>
      </w:r>
      <w:r>
        <w:fldChar w:fldCharType="end"/>
      </w:r>
    </w:p>
    <w:p>
      <w:pPr>
        <w:pStyle w:val="18"/>
        <w:tabs>
          <w:tab w:val="right" w:leader="dot" w:pos="8306"/>
          <w:tab w:val="clear" w:pos="8296"/>
        </w:tabs>
      </w:pPr>
      <w:r>
        <w:fldChar w:fldCharType="begin"/>
      </w:r>
      <w:r>
        <w:instrText xml:space="preserve"> HYPERLINK \l "_Toc17442" </w:instrText>
      </w:r>
      <w:r>
        <w:fldChar w:fldCharType="separate"/>
      </w:r>
      <w:r>
        <w:rPr>
          <w:rFonts w:hint="eastAsia" w:ascii="黑体" w:hAnsi="黑体" w:eastAsia="黑体"/>
          <w:szCs w:val="28"/>
        </w:rPr>
        <w:t>本科教学质量报告支撑数据</w:t>
      </w:r>
      <w:r>
        <w:tab/>
      </w:r>
      <w:r>
        <w:fldChar w:fldCharType="begin"/>
      </w:r>
      <w:r>
        <w:instrText xml:space="preserve"> PAGEREF _Toc17442 \h </w:instrText>
      </w:r>
      <w:r>
        <w:fldChar w:fldCharType="separate"/>
      </w:r>
      <w:r>
        <w:t>26</w:t>
      </w:r>
      <w:r>
        <w:fldChar w:fldCharType="end"/>
      </w:r>
      <w:r>
        <w:fldChar w:fldCharType="end"/>
      </w:r>
    </w:p>
    <w:p>
      <w:pPr>
        <w:spacing w:line="400" w:lineRule="exact"/>
        <w:jc w:val="center"/>
        <w:rPr>
          <w:b/>
          <w:szCs w:val="32"/>
        </w:rPr>
        <w:sectPr>
          <w:footerReference r:id="rId7" w:type="default"/>
          <w:pgSz w:w="11906" w:h="16838"/>
          <w:pgMar w:top="1440" w:right="1800" w:bottom="1440" w:left="1800" w:header="851" w:footer="992" w:gutter="0"/>
          <w:pgNumType w:start="1"/>
          <w:cols w:space="720" w:num="1"/>
          <w:docGrid w:type="lines" w:linePitch="312" w:charSpace="0"/>
        </w:sectPr>
      </w:pPr>
      <w:r>
        <w:rPr>
          <w:szCs w:val="32"/>
        </w:rPr>
        <w:fldChar w:fldCharType="end"/>
      </w:r>
    </w:p>
    <w:p>
      <w:pPr>
        <w:widowControl/>
        <w:spacing w:line="400" w:lineRule="exact"/>
        <w:ind w:firstLine="480" w:firstLineChars="200"/>
        <w:rPr>
          <w:sz w:val="24"/>
          <w:szCs w:val="24"/>
        </w:rPr>
      </w:pPr>
      <w:bookmarkStart w:id="0" w:name="_Toc27732510"/>
      <w:bookmarkStart w:id="1" w:name="_Toc8801"/>
      <w:bookmarkStart w:id="2" w:name="_Toc20386"/>
      <w:bookmarkStart w:id="3" w:name="_Toc12690"/>
      <w:bookmarkStart w:id="4" w:name="_Toc7125"/>
      <w:bookmarkStart w:id="5" w:name="_Toc6451"/>
      <w:r>
        <w:rPr>
          <w:rFonts w:hint="eastAsia"/>
          <w:sz w:val="24"/>
          <w:szCs w:val="24"/>
        </w:rPr>
        <w:t>安徽医科大学临床医学院于2003年由安徽医科大学创建，是经国家教育部和安徽省人民政府批准设立的独立学院。2017年11月遵照教育部26号令要求，由安徽医科大学与安徽新华集团投资有限公司合作创办，实现校企资源的有机结合和优化配置，为学院带来新的活力，促进学院更好更快发展。</w:t>
      </w:r>
    </w:p>
    <w:p>
      <w:pPr>
        <w:pStyle w:val="2"/>
        <w:spacing w:line="240" w:lineRule="auto"/>
        <w:jc w:val="left"/>
        <w:rPr>
          <w:rFonts w:ascii="黑体" w:hAnsi="黑体" w:eastAsia="黑体" w:cs="黑体"/>
          <w:sz w:val="30"/>
          <w:szCs w:val="30"/>
        </w:rPr>
      </w:pPr>
      <w:bookmarkStart w:id="6" w:name="_Toc9277"/>
      <w:r>
        <w:rPr>
          <w:rFonts w:hint="eastAsia" w:ascii="黑体" w:hAnsi="黑体" w:eastAsia="黑体" w:cs="黑体"/>
          <w:sz w:val="30"/>
          <w:szCs w:val="30"/>
        </w:rPr>
        <w:t>一、本科教育基本情况</w:t>
      </w:r>
      <w:bookmarkEnd w:id="0"/>
      <w:bookmarkEnd w:id="1"/>
      <w:bookmarkEnd w:id="2"/>
      <w:bookmarkEnd w:id="3"/>
      <w:bookmarkEnd w:id="4"/>
      <w:bookmarkEnd w:id="5"/>
      <w:bookmarkEnd w:id="6"/>
    </w:p>
    <w:p>
      <w:pPr>
        <w:pStyle w:val="3"/>
        <w:spacing w:before="0" w:after="0" w:line="240" w:lineRule="auto"/>
        <w:rPr>
          <w:rFonts w:ascii="黑体" w:hAnsi="黑体" w:eastAsia="黑体" w:cs="黑体"/>
          <w:sz w:val="28"/>
          <w:szCs w:val="28"/>
        </w:rPr>
      </w:pPr>
      <w:bookmarkStart w:id="7" w:name="_Toc27732511"/>
      <w:bookmarkStart w:id="8" w:name="_Toc19176"/>
      <w:bookmarkStart w:id="9" w:name="_Toc18891"/>
      <w:bookmarkStart w:id="10" w:name="_Toc6768"/>
      <w:bookmarkStart w:id="11" w:name="_Toc22591"/>
      <w:bookmarkStart w:id="12" w:name="_Toc27938"/>
      <w:bookmarkStart w:id="13" w:name="_Toc26345"/>
      <w:r>
        <w:rPr>
          <w:rFonts w:hint="eastAsia" w:ascii="黑体" w:hAnsi="黑体" w:eastAsia="黑体" w:cs="黑体"/>
          <w:sz w:val="28"/>
          <w:szCs w:val="28"/>
        </w:rPr>
        <w:t>1.1人才培养目标</w:t>
      </w:r>
      <w:bookmarkEnd w:id="7"/>
      <w:bookmarkEnd w:id="8"/>
      <w:bookmarkEnd w:id="9"/>
      <w:bookmarkEnd w:id="10"/>
      <w:bookmarkEnd w:id="11"/>
      <w:bookmarkEnd w:id="12"/>
      <w:bookmarkEnd w:id="13"/>
    </w:p>
    <w:p>
      <w:pPr>
        <w:spacing w:line="400" w:lineRule="exact"/>
        <w:ind w:firstLine="480" w:firstLineChars="200"/>
        <w:jc w:val="left"/>
        <w:rPr>
          <w:rFonts w:ascii="宋体" w:hAnsi="宋体"/>
          <w:sz w:val="24"/>
          <w:szCs w:val="24"/>
        </w:rPr>
      </w:pPr>
      <w:bookmarkStart w:id="14" w:name="_Toc6659"/>
      <w:bookmarkStart w:id="15" w:name="_Toc13667"/>
      <w:bookmarkStart w:id="16" w:name="_Toc23144"/>
      <w:bookmarkStart w:id="17" w:name="_Toc27732512"/>
      <w:bookmarkStart w:id="18" w:name="_Toc12535"/>
      <w:bookmarkStart w:id="19" w:name="_Toc6554"/>
      <w:r>
        <w:rPr>
          <w:rFonts w:hint="eastAsia" w:ascii="宋体" w:hAnsi="宋体"/>
          <w:sz w:val="24"/>
          <w:szCs w:val="24"/>
        </w:rPr>
        <w:t>学院坚持“需求导向，错位争先，医教协同，特色发展”的办学思路，坚持“扎根合肥，立足安徽，面向长三角，服务基层”，继承安徽医科大学“爱国爱民，献身人类健康”的办学传统，弘扬“好学力行、造就良医”的校训精神，秉承“求真、求精、求新”的学风，以医学为主体，医学、工学、管理学等多学科交叉融合发展，培养德医双修，全面发展，医学基础扎实，临床（实践）能力强，综合素质高的应用型、复合型医学专门人才，落实立德树人根本任务，努力建成一所高起点、高质量、有特色的地方医学本科院校。</w:t>
      </w:r>
    </w:p>
    <w:p>
      <w:pPr>
        <w:pStyle w:val="3"/>
        <w:spacing w:line="240" w:lineRule="auto"/>
        <w:rPr>
          <w:rFonts w:ascii="黑体" w:hAnsi="黑体" w:eastAsia="黑体" w:cs="黑体"/>
          <w:sz w:val="28"/>
          <w:szCs w:val="28"/>
        </w:rPr>
      </w:pPr>
      <w:bookmarkStart w:id="20" w:name="_Toc8993"/>
      <w:r>
        <w:rPr>
          <w:rFonts w:hint="eastAsia" w:ascii="黑体" w:hAnsi="黑体" w:eastAsia="黑体" w:cs="黑体"/>
          <w:sz w:val="28"/>
          <w:szCs w:val="28"/>
        </w:rPr>
        <w:t>1.2学科专业设置情况</w:t>
      </w:r>
      <w:bookmarkEnd w:id="14"/>
      <w:bookmarkEnd w:id="15"/>
      <w:bookmarkEnd w:id="16"/>
      <w:bookmarkEnd w:id="17"/>
      <w:bookmarkEnd w:id="18"/>
      <w:bookmarkEnd w:id="19"/>
      <w:bookmarkEnd w:id="20"/>
    </w:p>
    <w:p>
      <w:pPr>
        <w:pStyle w:val="19"/>
        <w:shd w:val="clear" w:color="auto" w:fill="FFFFFF"/>
        <w:spacing w:before="0" w:beforeAutospacing="0" w:after="0" w:afterAutospacing="0" w:line="400" w:lineRule="exact"/>
        <w:ind w:firstLine="480" w:firstLineChars="200"/>
        <w:jc w:val="both"/>
        <w:rPr>
          <w:rFonts w:ascii="Times New Roman" w:hAnsi="Times New Roman" w:cs="Times New Roman"/>
          <w:shd w:val="clear" w:color="auto" w:fill="FFFFFF"/>
        </w:rPr>
      </w:pPr>
      <w:r>
        <w:rPr>
          <w:rFonts w:ascii="Times New Roman" w:hAnsi="Times New Roman" w:cs="Times New Roman"/>
          <w:shd w:val="clear" w:color="auto" w:fill="FFFFFF"/>
        </w:rPr>
        <w:t>学校</w:t>
      </w:r>
      <w:r>
        <w:rPr>
          <w:rFonts w:ascii="Times New Roman" w:hAnsi="Times New Roman" w:cs="Times New Roman"/>
          <w:shd w:val="clear" w:color="auto" w:fill="FFFFFF"/>
          <w:lang w:eastAsia="zh-Hans"/>
        </w:rPr>
        <w:t>共开设</w:t>
      </w:r>
      <w:r>
        <w:rPr>
          <w:rFonts w:hint="eastAsia" w:ascii="Times New Roman" w:hAnsi="Times New Roman" w:cs="Times New Roman"/>
          <w:shd w:val="clear" w:color="auto" w:fill="FFFFFF"/>
        </w:rPr>
        <w:t>15</w:t>
      </w:r>
      <w:r>
        <w:rPr>
          <w:rFonts w:ascii="Times New Roman" w:hAnsi="Times New Roman" w:cs="Times New Roman"/>
          <w:shd w:val="clear" w:color="auto" w:fill="FFFFFF"/>
        </w:rPr>
        <w:t>个本科专业，</w:t>
      </w:r>
      <w:r>
        <w:rPr>
          <w:rFonts w:hint="eastAsia"/>
        </w:rPr>
        <w:t>其中授予工学学士学位专业3个占20%、授予理学学士学位专业8个占53.33%、授予管理学学士学位专业2个占13.33%、授予医学学士学位专业2个占13.33%。</w:t>
      </w:r>
    </w:p>
    <w:p>
      <w:pPr>
        <w:pStyle w:val="19"/>
        <w:shd w:val="clear" w:color="auto" w:fill="FFFFFF"/>
        <w:spacing w:before="0" w:beforeAutospacing="0" w:after="0" w:afterAutospacing="0" w:line="400" w:lineRule="exact"/>
        <w:rPr>
          <w:rFonts w:ascii="Times New Roman" w:hAnsi="Times New Roman" w:cs="Times New Roman"/>
          <w:shd w:val="clear" w:color="auto" w:fill="FFFFFF"/>
        </w:rPr>
      </w:pPr>
      <w:r>
        <w:rPr>
          <w:b/>
          <w:bCs/>
        </w:rPr>
        <w:drawing>
          <wp:anchor distT="0" distB="0" distL="114300" distR="114300" simplePos="0" relativeHeight="251663360" behindDoc="0" locked="0" layoutInCell="1" allowOverlap="1">
            <wp:simplePos x="0" y="0"/>
            <wp:positionH relativeFrom="column">
              <wp:posOffset>511810</wp:posOffset>
            </wp:positionH>
            <wp:positionV relativeFrom="paragraph">
              <wp:posOffset>69850</wp:posOffset>
            </wp:positionV>
            <wp:extent cx="4039235" cy="2390140"/>
            <wp:effectExtent l="0" t="0" r="18415" b="10160"/>
            <wp:wrapNone/>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039118" cy="2390140"/>
                    </a:xfrm>
                    <a:prstGeom prst="rect">
                      <a:avLst/>
                    </a:prstGeom>
                    <a:noFill/>
                    <a:ln>
                      <a:noFill/>
                    </a:ln>
                  </pic:spPr>
                </pic:pic>
              </a:graphicData>
            </a:graphic>
          </wp:anchor>
        </w:drawing>
      </w:r>
    </w:p>
    <w:p>
      <w:pPr>
        <w:rPr>
          <w:rFonts w:ascii="宋体" w:hAnsi="宋体"/>
          <w:b/>
          <w:bCs/>
          <w:sz w:val="24"/>
          <w:szCs w:val="24"/>
        </w:rPr>
      </w:pPr>
      <w:bookmarkStart w:id="21" w:name="_Toc2780"/>
      <w:bookmarkStart w:id="22" w:name="_Toc27732513"/>
      <w:bookmarkStart w:id="23" w:name="_Toc1324"/>
      <w:bookmarkStart w:id="24" w:name="_Toc17716"/>
      <w:bookmarkStart w:id="25" w:name="_Toc24340"/>
      <w:bookmarkStart w:id="26" w:name="_Toc32600"/>
    </w:p>
    <w:p>
      <w:pPr>
        <w:spacing w:line="400" w:lineRule="exact"/>
        <w:jc w:val="center"/>
        <w:rPr>
          <w:rFonts w:ascii="宋体" w:hAnsi="宋体"/>
          <w:b/>
          <w:bCs/>
          <w:sz w:val="24"/>
          <w:szCs w:val="24"/>
        </w:rPr>
      </w:pPr>
    </w:p>
    <w:p>
      <w:pPr>
        <w:spacing w:line="400" w:lineRule="exact"/>
        <w:jc w:val="center"/>
        <w:rPr>
          <w:rFonts w:ascii="宋体" w:hAnsi="宋体"/>
          <w:b/>
          <w:bCs/>
          <w:szCs w:val="21"/>
        </w:rPr>
      </w:pPr>
    </w:p>
    <w:p>
      <w:pPr>
        <w:spacing w:line="400" w:lineRule="exact"/>
        <w:jc w:val="center"/>
        <w:rPr>
          <w:rFonts w:ascii="宋体" w:hAnsi="宋体"/>
          <w:b/>
          <w:bCs/>
          <w:szCs w:val="21"/>
        </w:rPr>
      </w:pPr>
    </w:p>
    <w:p>
      <w:pPr>
        <w:spacing w:line="400" w:lineRule="exact"/>
        <w:jc w:val="center"/>
        <w:rPr>
          <w:rFonts w:ascii="宋体" w:hAnsi="宋体"/>
          <w:b/>
          <w:bCs/>
          <w:szCs w:val="21"/>
        </w:rPr>
      </w:pPr>
    </w:p>
    <w:p>
      <w:pPr>
        <w:spacing w:line="400" w:lineRule="exact"/>
        <w:jc w:val="center"/>
        <w:rPr>
          <w:rFonts w:ascii="宋体" w:hAnsi="宋体"/>
          <w:b/>
          <w:bCs/>
          <w:szCs w:val="21"/>
        </w:rPr>
      </w:pPr>
    </w:p>
    <w:p>
      <w:pPr>
        <w:spacing w:line="400" w:lineRule="exact"/>
        <w:jc w:val="center"/>
        <w:rPr>
          <w:rFonts w:ascii="宋体" w:hAnsi="宋体"/>
          <w:b/>
          <w:bCs/>
          <w:szCs w:val="21"/>
        </w:rPr>
      </w:pPr>
    </w:p>
    <w:p>
      <w:pPr>
        <w:spacing w:line="400" w:lineRule="exact"/>
        <w:jc w:val="center"/>
        <w:rPr>
          <w:rFonts w:ascii="宋体" w:hAnsi="宋体"/>
          <w:b/>
          <w:bCs/>
          <w:szCs w:val="21"/>
        </w:rPr>
      </w:pPr>
    </w:p>
    <w:p>
      <w:pPr>
        <w:spacing w:line="400" w:lineRule="exact"/>
        <w:rPr>
          <w:rFonts w:ascii="宋体" w:hAnsi="宋体"/>
          <w:b/>
          <w:bCs/>
          <w:szCs w:val="21"/>
        </w:rPr>
      </w:pPr>
    </w:p>
    <w:p>
      <w:pPr>
        <w:spacing w:line="400" w:lineRule="exact"/>
        <w:jc w:val="center"/>
        <w:rPr>
          <w:rFonts w:eastAsia="黑体"/>
          <w:b/>
          <w:bCs/>
          <w:szCs w:val="21"/>
        </w:rPr>
      </w:pPr>
      <w:r>
        <w:rPr>
          <w:rFonts w:hint="eastAsia" w:ascii="宋体" w:hAnsi="宋体"/>
          <w:b/>
          <w:bCs/>
          <w:szCs w:val="21"/>
        </w:rPr>
        <w:t xml:space="preserve">图1 各学科专业占比情况（%） </w:t>
      </w:r>
    </w:p>
    <w:p>
      <w:pPr>
        <w:pStyle w:val="3"/>
        <w:spacing w:before="0" w:after="0" w:line="400" w:lineRule="exact"/>
        <w:rPr>
          <w:rFonts w:ascii="黑体" w:hAnsi="黑体" w:eastAsia="黑体" w:cs="黑体"/>
          <w:sz w:val="28"/>
          <w:szCs w:val="28"/>
        </w:rPr>
      </w:pPr>
      <w:bookmarkStart w:id="27" w:name="_Toc3920"/>
      <w:r>
        <w:rPr>
          <w:rFonts w:hint="eastAsia" w:ascii="黑体" w:hAnsi="黑体" w:eastAsia="黑体" w:cs="黑体"/>
          <w:sz w:val="28"/>
          <w:szCs w:val="28"/>
        </w:rPr>
        <w:t>1.3在校生规模</w:t>
      </w:r>
      <w:bookmarkEnd w:id="21"/>
      <w:bookmarkEnd w:id="22"/>
      <w:bookmarkEnd w:id="23"/>
      <w:bookmarkEnd w:id="24"/>
      <w:bookmarkEnd w:id="25"/>
      <w:bookmarkEnd w:id="26"/>
      <w:bookmarkEnd w:id="27"/>
    </w:p>
    <w:p>
      <w:pPr>
        <w:spacing w:line="400" w:lineRule="exact"/>
        <w:jc w:val="left"/>
      </w:pPr>
      <w:r>
        <w:tab/>
      </w:r>
      <w:r>
        <w:rPr>
          <w:rFonts w:hint="eastAsia" w:ascii="宋体" w:hAnsi="宋体"/>
          <w:sz w:val="24"/>
          <w:szCs w:val="24"/>
        </w:rPr>
        <w:t>目前学校全日制在校生为7310人，本科生数占全日制在校生总数的比例为100.00%。</w:t>
      </w:r>
    </w:p>
    <w:p>
      <w:pPr>
        <w:widowControl/>
        <w:spacing w:line="400" w:lineRule="exact"/>
        <w:jc w:val="center"/>
        <w:textAlignment w:val="center"/>
        <w:rPr>
          <w:b/>
          <w:bCs/>
          <w:kern w:val="0"/>
          <w:szCs w:val="21"/>
          <w:lang w:bidi="ar"/>
        </w:rPr>
      </w:pPr>
      <w:r>
        <w:rPr>
          <w:b/>
          <w:bCs/>
          <w:kern w:val="0"/>
          <w:szCs w:val="21"/>
          <w:lang w:bidi="ar"/>
        </w:rPr>
        <w:t>表1</w:t>
      </w:r>
      <w:r>
        <w:rPr>
          <w:rFonts w:hint="eastAsia"/>
          <w:b/>
          <w:bCs/>
          <w:kern w:val="0"/>
          <w:szCs w:val="21"/>
          <w:lang w:bidi="ar"/>
        </w:rPr>
        <w:t>-1</w:t>
      </w:r>
      <w:r>
        <w:rPr>
          <w:b/>
          <w:bCs/>
          <w:kern w:val="0"/>
          <w:szCs w:val="21"/>
          <w:lang w:bidi="ar"/>
        </w:rPr>
        <w:t>各类学生人数一览表</w:t>
      </w:r>
    </w:p>
    <w:tbl>
      <w:tblPr>
        <w:tblStyle w:val="2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5"/>
        <w:gridCol w:w="668"/>
        <w:gridCol w:w="616"/>
        <w:gridCol w:w="548"/>
        <w:gridCol w:w="582"/>
        <w:gridCol w:w="461"/>
        <w:gridCol w:w="582"/>
        <w:gridCol w:w="592"/>
        <w:gridCol w:w="505"/>
        <w:gridCol w:w="636"/>
        <w:gridCol w:w="705"/>
        <w:gridCol w:w="705"/>
        <w:gridCol w:w="548"/>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84" w:type="pct"/>
            <w:vMerge w:val="restart"/>
            <w:vAlign w:val="center"/>
          </w:tcPr>
          <w:p>
            <w:pPr>
              <w:spacing w:line="400" w:lineRule="exact"/>
              <w:jc w:val="center"/>
              <w:rPr>
                <w:b/>
                <w:sz w:val="20"/>
                <w:szCs w:val="20"/>
              </w:rPr>
            </w:pPr>
            <w:r>
              <w:rPr>
                <w:b/>
                <w:sz w:val="20"/>
                <w:szCs w:val="20"/>
              </w:rPr>
              <w:t>普通本科生</w:t>
            </w:r>
          </w:p>
        </w:tc>
        <w:tc>
          <w:tcPr>
            <w:tcW w:w="392" w:type="pct"/>
            <w:vMerge w:val="restart"/>
            <w:vAlign w:val="center"/>
          </w:tcPr>
          <w:p>
            <w:pPr>
              <w:spacing w:line="400" w:lineRule="exact"/>
              <w:jc w:val="center"/>
              <w:rPr>
                <w:b/>
                <w:sz w:val="20"/>
                <w:szCs w:val="20"/>
              </w:rPr>
            </w:pPr>
            <w:r>
              <w:rPr>
                <w:b/>
                <w:sz w:val="20"/>
                <w:szCs w:val="20"/>
              </w:rPr>
              <w:t>普通高职生</w:t>
            </w:r>
          </w:p>
        </w:tc>
        <w:tc>
          <w:tcPr>
            <w:tcW w:w="682" w:type="pct"/>
            <w:gridSpan w:val="2"/>
            <w:vAlign w:val="center"/>
          </w:tcPr>
          <w:p>
            <w:pPr>
              <w:spacing w:line="400" w:lineRule="exact"/>
              <w:jc w:val="center"/>
              <w:rPr>
                <w:b/>
                <w:sz w:val="20"/>
                <w:szCs w:val="20"/>
              </w:rPr>
            </w:pPr>
            <w:r>
              <w:rPr>
                <w:b/>
                <w:sz w:val="20"/>
                <w:szCs w:val="20"/>
              </w:rPr>
              <w:t>硕士</w:t>
            </w:r>
          </w:p>
          <w:p>
            <w:pPr>
              <w:spacing w:line="400" w:lineRule="exact"/>
              <w:jc w:val="center"/>
              <w:rPr>
                <w:b/>
                <w:sz w:val="20"/>
                <w:szCs w:val="20"/>
              </w:rPr>
            </w:pPr>
            <w:r>
              <w:rPr>
                <w:b/>
                <w:sz w:val="20"/>
                <w:szCs w:val="20"/>
              </w:rPr>
              <w:t>研究生数</w:t>
            </w:r>
          </w:p>
        </w:tc>
        <w:tc>
          <w:tcPr>
            <w:tcW w:w="611" w:type="pct"/>
            <w:gridSpan w:val="2"/>
            <w:vAlign w:val="center"/>
          </w:tcPr>
          <w:p>
            <w:pPr>
              <w:spacing w:line="400" w:lineRule="exact"/>
              <w:jc w:val="center"/>
              <w:rPr>
                <w:b/>
                <w:sz w:val="20"/>
                <w:szCs w:val="20"/>
              </w:rPr>
            </w:pPr>
            <w:r>
              <w:rPr>
                <w:b/>
                <w:sz w:val="20"/>
                <w:szCs w:val="20"/>
              </w:rPr>
              <w:t>博士</w:t>
            </w:r>
          </w:p>
          <w:p>
            <w:pPr>
              <w:spacing w:line="400" w:lineRule="exact"/>
              <w:jc w:val="center"/>
              <w:rPr>
                <w:b/>
                <w:sz w:val="20"/>
                <w:szCs w:val="20"/>
              </w:rPr>
            </w:pPr>
            <w:r>
              <w:rPr>
                <w:b/>
                <w:sz w:val="20"/>
                <w:szCs w:val="20"/>
              </w:rPr>
              <w:t>研究生数</w:t>
            </w:r>
          </w:p>
        </w:tc>
        <w:tc>
          <w:tcPr>
            <w:tcW w:w="341" w:type="pct"/>
            <w:vMerge w:val="restart"/>
            <w:vAlign w:val="center"/>
          </w:tcPr>
          <w:p>
            <w:pPr>
              <w:spacing w:line="400" w:lineRule="exact"/>
              <w:jc w:val="center"/>
              <w:rPr>
                <w:b/>
                <w:sz w:val="20"/>
                <w:szCs w:val="20"/>
              </w:rPr>
            </w:pPr>
            <w:r>
              <w:rPr>
                <w:b/>
                <w:sz w:val="20"/>
                <w:szCs w:val="20"/>
              </w:rPr>
              <w:t>留学生</w:t>
            </w:r>
          </w:p>
        </w:tc>
        <w:tc>
          <w:tcPr>
            <w:tcW w:w="347" w:type="pct"/>
            <w:vMerge w:val="restart"/>
            <w:vAlign w:val="center"/>
          </w:tcPr>
          <w:p>
            <w:pPr>
              <w:spacing w:line="400" w:lineRule="exact"/>
              <w:jc w:val="center"/>
              <w:rPr>
                <w:b/>
                <w:sz w:val="20"/>
                <w:szCs w:val="20"/>
              </w:rPr>
            </w:pPr>
            <w:r>
              <w:rPr>
                <w:b/>
                <w:sz w:val="20"/>
                <w:szCs w:val="20"/>
              </w:rPr>
              <w:t>普通预科生</w:t>
            </w:r>
          </w:p>
        </w:tc>
        <w:tc>
          <w:tcPr>
            <w:tcW w:w="296" w:type="pct"/>
            <w:vMerge w:val="restart"/>
            <w:vAlign w:val="center"/>
          </w:tcPr>
          <w:p>
            <w:pPr>
              <w:spacing w:line="400" w:lineRule="exact"/>
              <w:jc w:val="center"/>
              <w:rPr>
                <w:b/>
                <w:sz w:val="20"/>
                <w:szCs w:val="20"/>
              </w:rPr>
            </w:pPr>
            <w:r>
              <w:rPr>
                <w:b/>
                <w:sz w:val="20"/>
                <w:szCs w:val="20"/>
              </w:rPr>
              <w:t>进修生</w:t>
            </w:r>
          </w:p>
        </w:tc>
        <w:tc>
          <w:tcPr>
            <w:tcW w:w="373" w:type="pct"/>
            <w:vMerge w:val="restart"/>
            <w:vAlign w:val="center"/>
          </w:tcPr>
          <w:p>
            <w:pPr>
              <w:spacing w:line="400" w:lineRule="exact"/>
              <w:jc w:val="center"/>
              <w:rPr>
                <w:b/>
                <w:sz w:val="20"/>
                <w:szCs w:val="20"/>
              </w:rPr>
            </w:pPr>
            <w:r>
              <w:rPr>
                <w:b/>
                <w:sz w:val="20"/>
                <w:szCs w:val="20"/>
              </w:rPr>
              <w:t>成人脱产学生</w:t>
            </w:r>
          </w:p>
        </w:tc>
        <w:tc>
          <w:tcPr>
            <w:tcW w:w="413" w:type="pct"/>
            <w:vMerge w:val="restart"/>
            <w:vAlign w:val="center"/>
          </w:tcPr>
          <w:p>
            <w:pPr>
              <w:spacing w:line="400" w:lineRule="exact"/>
              <w:jc w:val="center"/>
              <w:rPr>
                <w:b/>
                <w:sz w:val="20"/>
                <w:szCs w:val="20"/>
              </w:rPr>
            </w:pPr>
            <w:r>
              <w:rPr>
                <w:b/>
                <w:sz w:val="20"/>
                <w:szCs w:val="20"/>
              </w:rPr>
              <w:t>夜大学生</w:t>
            </w:r>
          </w:p>
        </w:tc>
        <w:tc>
          <w:tcPr>
            <w:tcW w:w="413" w:type="pct"/>
            <w:vMerge w:val="restart"/>
            <w:vAlign w:val="center"/>
          </w:tcPr>
          <w:p>
            <w:pPr>
              <w:spacing w:line="400" w:lineRule="exact"/>
              <w:jc w:val="center"/>
              <w:rPr>
                <w:b/>
                <w:sz w:val="20"/>
                <w:szCs w:val="20"/>
              </w:rPr>
            </w:pPr>
            <w:r>
              <w:rPr>
                <w:b/>
                <w:sz w:val="20"/>
                <w:szCs w:val="20"/>
              </w:rPr>
              <w:t>函授学生</w:t>
            </w:r>
          </w:p>
        </w:tc>
        <w:tc>
          <w:tcPr>
            <w:tcW w:w="321" w:type="pct"/>
            <w:vMerge w:val="restart"/>
            <w:vAlign w:val="center"/>
          </w:tcPr>
          <w:p>
            <w:pPr>
              <w:spacing w:line="400" w:lineRule="exact"/>
              <w:jc w:val="center"/>
              <w:rPr>
                <w:b/>
                <w:sz w:val="20"/>
                <w:szCs w:val="20"/>
              </w:rPr>
            </w:pPr>
            <w:r>
              <w:rPr>
                <w:b/>
                <w:sz w:val="20"/>
                <w:szCs w:val="20"/>
              </w:rPr>
              <w:t>网络学生</w:t>
            </w:r>
          </w:p>
        </w:tc>
        <w:tc>
          <w:tcPr>
            <w:tcW w:w="322" w:type="pct"/>
            <w:vMerge w:val="restart"/>
            <w:vAlign w:val="center"/>
          </w:tcPr>
          <w:p>
            <w:pPr>
              <w:spacing w:line="400" w:lineRule="exact"/>
              <w:jc w:val="center"/>
              <w:rPr>
                <w:b/>
                <w:sz w:val="20"/>
                <w:szCs w:val="20"/>
              </w:rPr>
            </w:pPr>
            <w:r>
              <w:rPr>
                <w:b/>
                <w:sz w:val="20"/>
                <w:szCs w:val="20"/>
              </w:rPr>
              <w:t>自考学生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484" w:type="pct"/>
            <w:vMerge w:val="continue"/>
            <w:vAlign w:val="center"/>
          </w:tcPr>
          <w:p>
            <w:pPr>
              <w:spacing w:line="400" w:lineRule="exact"/>
              <w:jc w:val="center"/>
              <w:rPr>
                <w:sz w:val="20"/>
                <w:szCs w:val="20"/>
              </w:rPr>
            </w:pPr>
          </w:p>
        </w:tc>
        <w:tc>
          <w:tcPr>
            <w:tcW w:w="392" w:type="pct"/>
            <w:vMerge w:val="continue"/>
            <w:vAlign w:val="center"/>
          </w:tcPr>
          <w:p>
            <w:pPr>
              <w:spacing w:line="400" w:lineRule="exact"/>
              <w:jc w:val="center"/>
              <w:rPr>
                <w:sz w:val="20"/>
                <w:szCs w:val="20"/>
              </w:rPr>
            </w:pPr>
          </w:p>
        </w:tc>
        <w:tc>
          <w:tcPr>
            <w:tcW w:w="361" w:type="pct"/>
            <w:vAlign w:val="center"/>
          </w:tcPr>
          <w:p>
            <w:pPr>
              <w:spacing w:line="400" w:lineRule="exact"/>
              <w:jc w:val="center"/>
              <w:rPr>
                <w:b/>
                <w:sz w:val="20"/>
                <w:szCs w:val="20"/>
              </w:rPr>
            </w:pPr>
            <w:r>
              <w:rPr>
                <w:b/>
                <w:sz w:val="20"/>
                <w:szCs w:val="20"/>
              </w:rPr>
              <w:t>全日</w:t>
            </w:r>
          </w:p>
          <w:p>
            <w:pPr>
              <w:spacing w:line="400" w:lineRule="exact"/>
              <w:jc w:val="center"/>
              <w:rPr>
                <w:b/>
                <w:sz w:val="20"/>
                <w:szCs w:val="20"/>
              </w:rPr>
            </w:pPr>
            <w:r>
              <w:rPr>
                <w:b/>
                <w:sz w:val="20"/>
                <w:szCs w:val="20"/>
              </w:rPr>
              <w:t>制</w:t>
            </w:r>
          </w:p>
        </w:tc>
        <w:tc>
          <w:tcPr>
            <w:tcW w:w="321" w:type="pct"/>
            <w:vAlign w:val="center"/>
          </w:tcPr>
          <w:p>
            <w:pPr>
              <w:spacing w:line="400" w:lineRule="exact"/>
              <w:jc w:val="center"/>
              <w:rPr>
                <w:b/>
                <w:sz w:val="20"/>
                <w:szCs w:val="20"/>
              </w:rPr>
            </w:pPr>
            <w:r>
              <w:rPr>
                <w:b/>
                <w:sz w:val="20"/>
                <w:szCs w:val="20"/>
              </w:rPr>
              <w:t>非全日制</w:t>
            </w:r>
          </w:p>
        </w:tc>
        <w:tc>
          <w:tcPr>
            <w:tcW w:w="341" w:type="pct"/>
            <w:vAlign w:val="center"/>
          </w:tcPr>
          <w:p>
            <w:pPr>
              <w:spacing w:line="400" w:lineRule="exact"/>
              <w:jc w:val="center"/>
              <w:rPr>
                <w:b/>
                <w:sz w:val="20"/>
                <w:szCs w:val="20"/>
              </w:rPr>
            </w:pPr>
            <w:r>
              <w:rPr>
                <w:b/>
                <w:sz w:val="20"/>
                <w:szCs w:val="20"/>
              </w:rPr>
              <w:t>全日制</w:t>
            </w:r>
          </w:p>
        </w:tc>
        <w:tc>
          <w:tcPr>
            <w:tcW w:w="270" w:type="pct"/>
            <w:vAlign w:val="center"/>
          </w:tcPr>
          <w:p>
            <w:pPr>
              <w:spacing w:line="400" w:lineRule="exact"/>
              <w:jc w:val="center"/>
              <w:rPr>
                <w:b/>
                <w:sz w:val="20"/>
                <w:szCs w:val="20"/>
              </w:rPr>
            </w:pPr>
            <w:r>
              <w:rPr>
                <w:b/>
                <w:sz w:val="20"/>
                <w:szCs w:val="20"/>
              </w:rPr>
              <w:t>非全</w:t>
            </w:r>
          </w:p>
          <w:p>
            <w:pPr>
              <w:spacing w:line="400" w:lineRule="exact"/>
              <w:jc w:val="center"/>
              <w:rPr>
                <w:b/>
                <w:sz w:val="20"/>
                <w:szCs w:val="20"/>
              </w:rPr>
            </w:pPr>
            <w:r>
              <w:rPr>
                <w:b/>
                <w:sz w:val="20"/>
                <w:szCs w:val="20"/>
              </w:rPr>
              <w:t>日制</w:t>
            </w:r>
          </w:p>
        </w:tc>
        <w:tc>
          <w:tcPr>
            <w:tcW w:w="341" w:type="pct"/>
            <w:vMerge w:val="continue"/>
            <w:vAlign w:val="center"/>
          </w:tcPr>
          <w:p>
            <w:pPr>
              <w:spacing w:line="400" w:lineRule="exact"/>
              <w:jc w:val="center"/>
              <w:rPr>
                <w:b/>
                <w:sz w:val="20"/>
                <w:szCs w:val="20"/>
              </w:rPr>
            </w:pPr>
          </w:p>
        </w:tc>
        <w:tc>
          <w:tcPr>
            <w:tcW w:w="347" w:type="pct"/>
            <w:vMerge w:val="continue"/>
            <w:vAlign w:val="center"/>
          </w:tcPr>
          <w:p>
            <w:pPr>
              <w:spacing w:line="400" w:lineRule="exact"/>
              <w:jc w:val="center"/>
              <w:rPr>
                <w:sz w:val="20"/>
                <w:szCs w:val="20"/>
              </w:rPr>
            </w:pPr>
          </w:p>
        </w:tc>
        <w:tc>
          <w:tcPr>
            <w:tcW w:w="296" w:type="pct"/>
            <w:vMerge w:val="continue"/>
            <w:vAlign w:val="center"/>
          </w:tcPr>
          <w:p>
            <w:pPr>
              <w:spacing w:line="400" w:lineRule="exact"/>
              <w:jc w:val="center"/>
              <w:rPr>
                <w:sz w:val="20"/>
                <w:szCs w:val="20"/>
              </w:rPr>
            </w:pPr>
          </w:p>
        </w:tc>
        <w:tc>
          <w:tcPr>
            <w:tcW w:w="373" w:type="pct"/>
            <w:vMerge w:val="continue"/>
            <w:vAlign w:val="center"/>
          </w:tcPr>
          <w:p>
            <w:pPr>
              <w:spacing w:line="400" w:lineRule="exact"/>
              <w:jc w:val="center"/>
              <w:rPr>
                <w:sz w:val="20"/>
                <w:szCs w:val="20"/>
              </w:rPr>
            </w:pPr>
          </w:p>
        </w:tc>
        <w:tc>
          <w:tcPr>
            <w:tcW w:w="413" w:type="pct"/>
            <w:vMerge w:val="continue"/>
            <w:vAlign w:val="center"/>
          </w:tcPr>
          <w:p>
            <w:pPr>
              <w:spacing w:line="400" w:lineRule="exact"/>
              <w:jc w:val="center"/>
              <w:rPr>
                <w:sz w:val="20"/>
                <w:szCs w:val="20"/>
              </w:rPr>
            </w:pPr>
          </w:p>
        </w:tc>
        <w:tc>
          <w:tcPr>
            <w:tcW w:w="413" w:type="pct"/>
            <w:vMerge w:val="continue"/>
            <w:vAlign w:val="center"/>
          </w:tcPr>
          <w:p>
            <w:pPr>
              <w:spacing w:line="400" w:lineRule="exact"/>
              <w:jc w:val="center"/>
              <w:rPr>
                <w:sz w:val="20"/>
                <w:szCs w:val="20"/>
              </w:rPr>
            </w:pPr>
          </w:p>
        </w:tc>
        <w:tc>
          <w:tcPr>
            <w:tcW w:w="321" w:type="pct"/>
            <w:vMerge w:val="continue"/>
            <w:vAlign w:val="center"/>
          </w:tcPr>
          <w:p>
            <w:pPr>
              <w:spacing w:line="400" w:lineRule="exact"/>
              <w:jc w:val="center"/>
              <w:rPr>
                <w:sz w:val="20"/>
                <w:szCs w:val="20"/>
              </w:rPr>
            </w:pPr>
          </w:p>
        </w:tc>
        <w:tc>
          <w:tcPr>
            <w:tcW w:w="322" w:type="pct"/>
            <w:vMerge w:val="continue"/>
            <w:vAlign w:val="center"/>
          </w:tcPr>
          <w:p>
            <w:pPr>
              <w:spacing w:line="400" w:lineRule="exact"/>
              <w:jc w:val="cente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825" w:type="dxa"/>
            <w:vAlign w:val="center"/>
          </w:tcPr>
          <w:p>
            <w:pPr>
              <w:spacing w:line="400" w:lineRule="exact"/>
              <w:jc w:val="center"/>
              <w:rPr>
                <w:sz w:val="20"/>
                <w:szCs w:val="20"/>
              </w:rPr>
            </w:pPr>
            <w:r>
              <w:rPr>
                <w:rFonts w:hint="eastAsia"/>
                <w:sz w:val="20"/>
                <w:szCs w:val="20"/>
              </w:rPr>
              <w:t>7310</w:t>
            </w:r>
          </w:p>
        </w:tc>
        <w:tc>
          <w:tcPr>
            <w:tcW w:w="668" w:type="dxa"/>
            <w:vAlign w:val="center"/>
          </w:tcPr>
          <w:p>
            <w:pPr>
              <w:spacing w:line="400" w:lineRule="exact"/>
              <w:jc w:val="center"/>
              <w:rPr>
                <w:sz w:val="20"/>
                <w:szCs w:val="20"/>
              </w:rPr>
            </w:pPr>
            <w:r>
              <w:rPr>
                <w:rFonts w:hint="eastAsia"/>
                <w:sz w:val="20"/>
                <w:szCs w:val="20"/>
              </w:rPr>
              <w:t>0</w:t>
            </w:r>
          </w:p>
        </w:tc>
        <w:tc>
          <w:tcPr>
            <w:tcW w:w="616" w:type="dxa"/>
            <w:vAlign w:val="center"/>
          </w:tcPr>
          <w:p>
            <w:pPr>
              <w:spacing w:line="400" w:lineRule="exact"/>
              <w:jc w:val="center"/>
              <w:rPr>
                <w:sz w:val="20"/>
                <w:szCs w:val="20"/>
              </w:rPr>
            </w:pPr>
            <w:r>
              <w:rPr>
                <w:rFonts w:hint="eastAsia"/>
                <w:sz w:val="20"/>
                <w:szCs w:val="20"/>
              </w:rPr>
              <w:t>0</w:t>
            </w:r>
          </w:p>
        </w:tc>
        <w:tc>
          <w:tcPr>
            <w:tcW w:w="548" w:type="dxa"/>
            <w:vAlign w:val="center"/>
          </w:tcPr>
          <w:p>
            <w:pPr>
              <w:spacing w:line="400" w:lineRule="exact"/>
              <w:jc w:val="center"/>
              <w:rPr>
                <w:sz w:val="20"/>
                <w:szCs w:val="20"/>
              </w:rPr>
            </w:pPr>
            <w:r>
              <w:rPr>
                <w:rFonts w:hint="eastAsia"/>
                <w:sz w:val="20"/>
                <w:szCs w:val="20"/>
              </w:rPr>
              <w:t>0</w:t>
            </w:r>
          </w:p>
        </w:tc>
        <w:tc>
          <w:tcPr>
            <w:tcW w:w="582" w:type="dxa"/>
            <w:vAlign w:val="center"/>
          </w:tcPr>
          <w:p>
            <w:pPr>
              <w:spacing w:line="400" w:lineRule="exact"/>
              <w:jc w:val="center"/>
              <w:rPr>
                <w:sz w:val="20"/>
                <w:szCs w:val="20"/>
              </w:rPr>
            </w:pPr>
            <w:r>
              <w:rPr>
                <w:rFonts w:hint="eastAsia"/>
                <w:sz w:val="20"/>
                <w:szCs w:val="20"/>
              </w:rPr>
              <w:t>0</w:t>
            </w:r>
          </w:p>
        </w:tc>
        <w:tc>
          <w:tcPr>
            <w:tcW w:w="461" w:type="dxa"/>
            <w:vAlign w:val="center"/>
          </w:tcPr>
          <w:p>
            <w:pPr>
              <w:spacing w:line="400" w:lineRule="exact"/>
              <w:jc w:val="center"/>
              <w:rPr>
                <w:sz w:val="20"/>
                <w:szCs w:val="20"/>
              </w:rPr>
            </w:pPr>
            <w:r>
              <w:rPr>
                <w:rFonts w:hint="eastAsia"/>
                <w:sz w:val="20"/>
                <w:szCs w:val="20"/>
              </w:rPr>
              <w:t>0</w:t>
            </w:r>
          </w:p>
        </w:tc>
        <w:tc>
          <w:tcPr>
            <w:tcW w:w="582" w:type="dxa"/>
            <w:vAlign w:val="center"/>
          </w:tcPr>
          <w:p>
            <w:pPr>
              <w:spacing w:line="400" w:lineRule="exact"/>
              <w:jc w:val="center"/>
              <w:rPr>
                <w:sz w:val="20"/>
                <w:szCs w:val="20"/>
              </w:rPr>
            </w:pPr>
            <w:r>
              <w:rPr>
                <w:rFonts w:hint="eastAsia"/>
                <w:sz w:val="20"/>
                <w:szCs w:val="20"/>
              </w:rPr>
              <w:t>0</w:t>
            </w:r>
          </w:p>
        </w:tc>
        <w:tc>
          <w:tcPr>
            <w:tcW w:w="592" w:type="dxa"/>
            <w:vAlign w:val="center"/>
          </w:tcPr>
          <w:p>
            <w:pPr>
              <w:spacing w:line="400" w:lineRule="exact"/>
              <w:jc w:val="center"/>
              <w:rPr>
                <w:sz w:val="20"/>
                <w:szCs w:val="20"/>
              </w:rPr>
            </w:pPr>
            <w:r>
              <w:rPr>
                <w:sz w:val="20"/>
                <w:szCs w:val="20"/>
              </w:rPr>
              <w:t>0</w:t>
            </w:r>
          </w:p>
        </w:tc>
        <w:tc>
          <w:tcPr>
            <w:tcW w:w="505" w:type="dxa"/>
            <w:vAlign w:val="center"/>
          </w:tcPr>
          <w:p>
            <w:pPr>
              <w:spacing w:line="400" w:lineRule="exact"/>
              <w:jc w:val="center"/>
              <w:rPr>
                <w:sz w:val="20"/>
                <w:szCs w:val="20"/>
              </w:rPr>
            </w:pPr>
            <w:r>
              <w:rPr>
                <w:sz w:val="20"/>
                <w:szCs w:val="20"/>
              </w:rPr>
              <w:t>0</w:t>
            </w:r>
          </w:p>
        </w:tc>
        <w:tc>
          <w:tcPr>
            <w:tcW w:w="636" w:type="dxa"/>
            <w:vAlign w:val="center"/>
          </w:tcPr>
          <w:p>
            <w:pPr>
              <w:spacing w:line="400" w:lineRule="exact"/>
              <w:jc w:val="center"/>
              <w:rPr>
                <w:sz w:val="20"/>
                <w:szCs w:val="20"/>
              </w:rPr>
            </w:pPr>
            <w:r>
              <w:rPr>
                <w:sz w:val="20"/>
                <w:szCs w:val="20"/>
              </w:rPr>
              <w:t>0</w:t>
            </w:r>
          </w:p>
        </w:tc>
        <w:tc>
          <w:tcPr>
            <w:tcW w:w="705" w:type="dxa"/>
            <w:vAlign w:val="center"/>
          </w:tcPr>
          <w:p>
            <w:pPr>
              <w:spacing w:line="400" w:lineRule="exact"/>
              <w:jc w:val="center"/>
              <w:rPr>
                <w:sz w:val="20"/>
                <w:szCs w:val="20"/>
              </w:rPr>
            </w:pPr>
            <w:r>
              <w:rPr>
                <w:rFonts w:hint="eastAsia"/>
                <w:sz w:val="20"/>
                <w:szCs w:val="20"/>
              </w:rPr>
              <w:t>0</w:t>
            </w:r>
          </w:p>
        </w:tc>
        <w:tc>
          <w:tcPr>
            <w:tcW w:w="705" w:type="dxa"/>
            <w:vAlign w:val="center"/>
          </w:tcPr>
          <w:p>
            <w:pPr>
              <w:spacing w:line="400" w:lineRule="exact"/>
              <w:jc w:val="center"/>
              <w:rPr>
                <w:sz w:val="20"/>
                <w:szCs w:val="20"/>
              </w:rPr>
            </w:pPr>
            <w:r>
              <w:rPr>
                <w:rFonts w:hint="eastAsia"/>
                <w:sz w:val="20"/>
                <w:szCs w:val="20"/>
              </w:rPr>
              <w:t>0</w:t>
            </w:r>
          </w:p>
        </w:tc>
        <w:tc>
          <w:tcPr>
            <w:tcW w:w="548" w:type="dxa"/>
            <w:vAlign w:val="center"/>
          </w:tcPr>
          <w:p>
            <w:pPr>
              <w:spacing w:line="400" w:lineRule="exact"/>
              <w:jc w:val="center"/>
              <w:rPr>
                <w:sz w:val="20"/>
                <w:szCs w:val="20"/>
              </w:rPr>
            </w:pPr>
            <w:r>
              <w:rPr>
                <w:sz w:val="20"/>
                <w:szCs w:val="20"/>
              </w:rPr>
              <w:t>0</w:t>
            </w:r>
          </w:p>
        </w:tc>
        <w:tc>
          <w:tcPr>
            <w:tcW w:w="549" w:type="dxa"/>
            <w:vAlign w:val="center"/>
          </w:tcPr>
          <w:p>
            <w:pPr>
              <w:spacing w:line="400" w:lineRule="exact"/>
              <w:jc w:val="center"/>
              <w:rPr>
                <w:sz w:val="20"/>
                <w:szCs w:val="20"/>
              </w:rPr>
            </w:pPr>
            <w:r>
              <w:rPr>
                <w:sz w:val="20"/>
                <w:szCs w:val="20"/>
              </w:rPr>
              <w:t>0</w:t>
            </w:r>
          </w:p>
        </w:tc>
      </w:tr>
    </w:tbl>
    <w:p>
      <w:pPr>
        <w:pStyle w:val="3"/>
        <w:spacing w:before="0" w:after="0" w:line="400" w:lineRule="exact"/>
        <w:rPr>
          <w:rFonts w:ascii="Times New Roman" w:hAnsi="Times New Roman" w:eastAsia="黑体"/>
          <w:sz w:val="28"/>
          <w:szCs w:val="28"/>
        </w:rPr>
      </w:pPr>
      <w:bookmarkStart w:id="28" w:name="_Toc15221"/>
      <w:bookmarkStart w:id="29" w:name="_Toc13538"/>
      <w:bookmarkStart w:id="30" w:name="_Toc27732514"/>
      <w:bookmarkStart w:id="31" w:name="_Toc8096"/>
      <w:bookmarkStart w:id="32" w:name="_Toc22898"/>
      <w:bookmarkStart w:id="33" w:name="_Toc6124"/>
      <w:bookmarkStart w:id="34" w:name="_Toc27335"/>
      <w:r>
        <w:rPr>
          <w:rFonts w:ascii="Times New Roman" w:hAnsi="Times New Roman" w:eastAsia="黑体"/>
          <w:sz w:val="28"/>
          <w:szCs w:val="28"/>
        </w:rPr>
        <w:t>1.4本科生生源质量</w:t>
      </w:r>
      <w:bookmarkEnd w:id="28"/>
      <w:bookmarkEnd w:id="29"/>
      <w:bookmarkEnd w:id="30"/>
      <w:bookmarkEnd w:id="31"/>
      <w:bookmarkEnd w:id="32"/>
      <w:bookmarkEnd w:id="33"/>
      <w:bookmarkEnd w:id="34"/>
    </w:p>
    <w:p>
      <w:pPr>
        <w:spacing w:line="400" w:lineRule="exact"/>
        <w:ind w:firstLine="420" w:firstLineChars="200"/>
        <w:rPr>
          <w:kern w:val="0"/>
          <w:sz w:val="24"/>
          <w:szCs w:val="24"/>
          <w:shd w:val="clear" w:color="auto" w:fill="FFFFFF"/>
        </w:rPr>
      </w:pPr>
      <w:r>
        <w:rPr>
          <w:rFonts w:hint="eastAsia"/>
        </w:rPr>
        <w:t xml:space="preserve"> </w:t>
      </w:r>
      <w:r>
        <w:rPr>
          <w:rFonts w:ascii="宋体" w:hAnsi="宋体" w:cs="宋体"/>
          <w:sz w:val="24"/>
          <w:szCs w:val="24"/>
        </w:rPr>
        <w:t>2022年学院招生计划2360，其中普通本科招生计划1500，专升本招生计划860，安徽省内招生计划2218，省外招生计划142。整体生源质量稳中有升，具体如下：</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普通本科安徽省录取1358人，其中文科录取165人，录取最低分500分，超二本省控线20分；理科录取1193人，录取最低分449分，超二本省控线14分，其中临床医学专业最低分467分，超省控线32分，一本线上生源95人，超过前两年之和。广东省录取30人，录取最低分518，超本科批物理类省控线73分。江苏省录取10人，录取最低分469，超本科批物理类省控线40分。上海市录取10人，录取最低分413，超本科批省控线13分。河北省录取10人，录取最低分499，超本科批物理类省控线69分。福建省录取40人，录取最低分493，超本科批物理类省控线65分。江西省录取7人，录取最低分489，超理工二本省控线49分。天津市录取15人，录取最低分498，超本科批省控线35分。重庆市录取10人，录取最低分490，超本科批物理类省控线79分。四川省录取10人，录取最低分512，超理工二本省控线86分。普通专升本实际录取889人，报名2464人。</w:t>
      </w:r>
    </w:p>
    <w:p>
      <w:pPr>
        <w:widowControl/>
        <w:spacing w:line="400" w:lineRule="exact"/>
        <w:jc w:val="center"/>
        <w:textAlignment w:val="center"/>
        <w:rPr>
          <w:rFonts w:ascii="宋体" w:hAnsi="宋体" w:cs="宋体"/>
          <w:b/>
          <w:bCs/>
          <w:kern w:val="0"/>
          <w:szCs w:val="21"/>
          <w:lang w:bidi="ar"/>
        </w:rPr>
      </w:pPr>
      <w:r>
        <w:rPr>
          <w:rFonts w:hint="eastAsia" w:ascii="宋体" w:hAnsi="宋体" w:cs="宋体"/>
          <w:szCs w:val="21"/>
        </w:rPr>
        <w:t xml:space="preserve"> </w:t>
      </w:r>
      <w:r>
        <w:rPr>
          <w:rFonts w:hint="eastAsia" w:ascii="宋体" w:hAnsi="宋体" w:cs="宋体"/>
          <w:b/>
          <w:bCs/>
          <w:kern w:val="0"/>
          <w:szCs w:val="21"/>
          <w:lang w:bidi="ar"/>
        </w:rPr>
        <w:t>表1-2 生源情况</w:t>
      </w:r>
    </w:p>
    <w:tbl>
      <w:tblPr>
        <w:tblStyle w:val="21"/>
        <w:tblW w:w="8130" w:type="dxa"/>
        <w:tblInd w:w="93" w:type="dxa"/>
        <w:tblLayout w:type="autofit"/>
        <w:tblCellMar>
          <w:top w:w="0" w:type="dxa"/>
          <w:left w:w="108" w:type="dxa"/>
          <w:bottom w:w="0" w:type="dxa"/>
          <w:right w:w="108" w:type="dxa"/>
        </w:tblCellMar>
      </w:tblPr>
      <w:tblGrid>
        <w:gridCol w:w="1065"/>
        <w:gridCol w:w="1719"/>
        <w:gridCol w:w="1096"/>
        <w:gridCol w:w="1065"/>
        <w:gridCol w:w="1066"/>
        <w:gridCol w:w="1142"/>
        <w:gridCol w:w="977"/>
      </w:tblGrid>
      <w:tr>
        <w:tblPrEx>
          <w:tblCellMar>
            <w:top w:w="0" w:type="dxa"/>
            <w:left w:w="108" w:type="dxa"/>
            <w:bottom w:w="0" w:type="dxa"/>
            <w:right w:w="108" w:type="dxa"/>
          </w:tblCellMar>
        </w:tblPrEx>
        <w:trPr>
          <w:trHeight w:val="780" w:hRule="atLeast"/>
        </w:trPr>
        <w:tc>
          <w:tcPr>
            <w:tcW w:w="106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省份</w:t>
            </w:r>
          </w:p>
        </w:tc>
        <w:tc>
          <w:tcPr>
            <w:tcW w:w="1719"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批次</w:t>
            </w:r>
          </w:p>
        </w:tc>
        <w:tc>
          <w:tcPr>
            <w:tcW w:w="109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招生类型</w:t>
            </w:r>
          </w:p>
        </w:tc>
        <w:tc>
          <w:tcPr>
            <w:tcW w:w="1065"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录取数（人）</w:t>
            </w:r>
          </w:p>
        </w:tc>
        <w:tc>
          <w:tcPr>
            <w:tcW w:w="1066"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批次最低控制线（分）</w:t>
            </w:r>
          </w:p>
        </w:tc>
        <w:tc>
          <w:tcPr>
            <w:tcW w:w="1142"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当年录取平均分数（分）</w:t>
            </w:r>
          </w:p>
        </w:tc>
        <w:tc>
          <w:tcPr>
            <w:tcW w:w="977" w:type="dxa"/>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b/>
                <w:bCs/>
                <w:szCs w:val="21"/>
              </w:rPr>
            </w:pPr>
            <w:r>
              <w:rPr>
                <w:rStyle w:val="36"/>
                <w:rFonts w:hint="eastAsia" w:ascii="宋体" w:hAnsi="宋体" w:cs="宋体"/>
                <w:color w:val="auto"/>
                <w:sz w:val="21"/>
                <w:szCs w:val="21"/>
                <w:lang w:bidi="ar"/>
              </w:rPr>
              <w:t>平均分与控制线差值</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第二批次招生A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文科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440</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473</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33</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安徽省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第二批次招生A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理科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427</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466.9</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39.9</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江西省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第二批次招生A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理科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445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503.4</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58.4</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四川省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第二批次招生A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理科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433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524.8</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91.8</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河南省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第二批次招生A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理科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409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515</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106</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广东省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439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531.2</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92.2</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福建省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431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513.4</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82.4</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天津市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不分文理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472</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512.4</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40.4</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山东省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不分文理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443</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516.1</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73.1</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上海市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不分文理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405</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437.9</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32.9</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河北省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439</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515</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76</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江苏省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448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504</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56</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重庆市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物理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406</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515.9</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109.9</w:t>
            </w:r>
          </w:p>
        </w:tc>
      </w:tr>
      <w:tr>
        <w:tblPrEx>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浙江省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本科批招生</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不分文理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488</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spacing w:line="400" w:lineRule="exact"/>
              <w:jc w:val="center"/>
              <w:textAlignment w:val="center"/>
              <w:rPr>
                <w:rFonts w:ascii="宋体" w:hAnsi="宋体" w:cs="宋体"/>
                <w:szCs w:val="21"/>
              </w:rPr>
            </w:pPr>
            <w:r>
              <w:rPr>
                <w:rStyle w:val="48"/>
                <w:rFonts w:hint="eastAsia" w:ascii="宋体" w:hAnsi="宋体" w:cs="宋体"/>
                <w:color w:val="auto"/>
                <w:sz w:val="21"/>
                <w:szCs w:val="21"/>
                <w:lang w:bidi="ar"/>
              </w:rPr>
              <w:t>562</w:t>
            </w:r>
          </w:p>
        </w:tc>
        <w:tc>
          <w:tcPr>
            <w:tcW w:w="977" w:type="dxa"/>
            <w:tcBorders>
              <w:top w:val="nil"/>
              <w:left w:val="single" w:color="000000" w:sz="8" w:space="0"/>
              <w:bottom w:val="single" w:color="000000" w:sz="8" w:space="0"/>
              <w:right w:val="single" w:color="000000" w:sz="8" w:space="0"/>
            </w:tcBorders>
            <w:vAlign w:val="center"/>
          </w:tcPr>
          <w:p>
            <w:pPr>
              <w:widowControl/>
              <w:spacing w:line="400" w:lineRule="exact"/>
              <w:jc w:val="center"/>
              <w:textAlignment w:val="center"/>
              <w:rPr>
                <w:rFonts w:ascii="宋体" w:hAnsi="宋体" w:cs="宋体"/>
                <w:szCs w:val="21"/>
              </w:rPr>
            </w:pPr>
            <w:r>
              <w:rPr>
                <w:rFonts w:hint="eastAsia" w:ascii="宋体" w:hAnsi="宋体" w:cs="宋体"/>
                <w:kern w:val="0"/>
                <w:szCs w:val="21"/>
                <w:lang w:bidi="ar"/>
              </w:rPr>
              <w:t>74</w:t>
            </w:r>
          </w:p>
        </w:tc>
      </w:tr>
    </w:tbl>
    <w:p>
      <w:pPr>
        <w:pStyle w:val="2"/>
        <w:spacing w:before="0" w:after="0" w:line="240" w:lineRule="auto"/>
        <w:rPr>
          <w:rFonts w:eastAsia="黑体"/>
          <w:sz w:val="30"/>
          <w:szCs w:val="30"/>
        </w:rPr>
      </w:pPr>
      <w:bookmarkStart w:id="35" w:name="_Toc18963"/>
      <w:bookmarkStart w:id="36" w:name="_Toc20473"/>
      <w:bookmarkStart w:id="37" w:name="_Toc24906"/>
      <w:bookmarkStart w:id="38" w:name="_Toc16306"/>
      <w:bookmarkStart w:id="39" w:name="_Toc23397"/>
      <w:bookmarkStart w:id="40" w:name="_Toc27732515"/>
      <w:bookmarkStart w:id="41" w:name="_Toc30662"/>
      <w:r>
        <w:rPr>
          <w:rFonts w:eastAsia="黑体"/>
          <w:sz w:val="30"/>
          <w:szCs w:val="30"/>
        </w:rPr>
        <w:t>二、师资与教学条件</w:t>
      </w:r>
      <w:bookmarkEnd w:id="35"/>
      <w:bookmarkEnd w:id="36"/>
      <w:bookmarkEnd w:id="37"/>
      <w:bookmarkEnd w:id="38"/>
      <w:bookmarkEnd w:id="39"/>
      <w:bookmarkEnd w:id="40"/>
      <w:bookmarkEnd w:id="41"/>
    </w:p>
    <w:p>
      <w:pPr>
        <w:pStyle w:val="3"/>
        <w:spacing w:before="0" w:after="0" w:line="240" w:lineRule="auto"/>
        <w:rPr>
          <w:rFonts w:ascii="Times New Roman" w:hAnsi="Times New Roman" w:eastAsia="黑体"/>
          <w:sz w:val="28"/>
          <w:szCs w:val="28"/>
        </w:rPr>
      </w:pPr>
      <w:bookmarkStart w:id="42" w:name="_Toc32004"/>
      <w:bookmarkStart w:id="43" w:name="_Toc8495"/>
      <w:bookmarkStart w:id="44" w:name="_Toc15261"/>
      <w:bookmarkStart w:id="45" w:name="_Toc11858"/>
      <w:bookmarkStart w:id="46" w:name="_Toc27732516"/>
      <w:bookmarkStart w:id="47" w:name="_Toc15856"/>
      <w:bookmarkStart w:id="48" w:name="_Toc10482"/>
      <w:r>
        <w:rPr>
          <w:rFonts w:ascii="Times New Roman" w:hAnsi="Times New Roman" w:eastAsia="黑体"/>
          <w:sz w:val="28"/>
          <w:szCs w:val="28"/>
        </w:rPr>
        <w:t>2.1师资队伍</w:t>
      </w:r>
      <w:bookmarkEnd w:id="42"/>
      <w:bookmarkEnd w:id="43"/>
      <w:bookmarkEnd w:id="44"/>
      <w:bookmarkEnd w:id="45"/>
      <w:bookmarkEnd w:id="46"/>
      <w:bookmarkEnd w:id="47"/>
      <w:bookmarkEnd w:id="48"/>
    </w:p>
    <w:p>
      <w:pPr>
        <w:spacing w:line="400" w:lineRule="exact"/>
        <w:ind w:firstLine="480" w:firstLineChars="200"/>
        <w:jc w:val="left"/>
        <w:rPr>
          <w:kern w:val="0"/>
          <w:sz w:val="24"/>
          <w:szCs w:val="24"/>
          <w:shd w:val="clear" w:color="auto" w:fill="FFFFFF"/>
        </w:rPr>
      </w:pPr>
      <w:r>
        <w:rPr>
          <w:rFonts w:hint="eastAsia"/>
          <w:kern w:val="0"/>
          <w:sz w:val="24"/>
          <w:szCs w:val="24"/>
          <w:shd w:val="clear" w:color="auto" w:fill="FFFFFF"/>
        </w:rPr>
        <w:t>学校现有专任教师407人、外聘教师267人，生师比为13.49：1。专任教师中，“双能型”教师93人，占专任教师的比例为22.85%；具有高级职称的专任教师147人，占专任教师的比例为36.12%；具有研究生学位（硕士和博士）的专任教师342人，占专任教师的比例为84.03%。</w:t>
      </w:r>
      <w:r>
        <w:rPr>
          <w:rFonts w:hint="eastAsia" w:ascii="宋体" w:hAnsi="宋体"/>
          <w:sz w:val="24"/>
          <w:szCs w:val="24"/>
        </w:rPr>
        <w:t>省级教学名师9人。</w:t>
      </w:r>
    </w:p>
    <w:p>
      <w:pPr>
        <w:pStyle w:val="19"/>
        <w:shd w:val="clear" w:color="auto" w:fill="FFFFFF"/>
        <w:spacing w:before="0" w:beforeAutospacing="0" w:after="0" w:afterAutospacing="0" w:line="400" w:lineRule="exact"/>
        <w:ind w:firstLine="480" w:firstLineChars="200"/>
        <w:jc w:val="both"/>
        <w:rPr>
          <w:rFonts w:ascii="Times New Roman" w:hAnsi="Times New Roman" w:cs="Times New Roman"/>
          <w:shd w:val="clear" w:color="auto" w:fill="FFFFFF"/>
        </w:rPr>
      </w:pPr>
      <w:r>
        <w:rPr>
          <w:rFonts w:ascii="Times New Roman" w:hAnsi="Times New Roman" w:cs="Times New Roman"/>
          <w:shd w:val="clear" w:color="auto" w:fill="FFFFFF"/>
          <w:lang w:eastAsia="zh-Hans"/>
        </w:rPr>
        <w:t>教师总数详见表</w:t>
      </w:r>
      <w:r>
        <w:rPr>
          <w:rFonts w:ascii="Times New Roman" w:hAnsi="Times New Roman" w:cs="Times New Roman"/>
          <w:shd w:val="clear" w:color="auto" w:fill="FFFFFF"/>
        </w:rPr>
        <w:t>2</w:t>
      </w:r>
      <w:r>
        <w:rPr>
          <w:rFonts w:ascii="Times New Roman" w:hAnsi="Times New Roman" w:cs="Times New Roman"/>
          <w:shd w:val="clear" w:color="auto" w:fill="FFFFFF"/>
          <w:lang w:eastAsia="zh-Hans"/>
        </w:rPr>
        <w:t>-1。教师队伍职称、学位、年龄的结构详见表</w:t>
      </w:r>
      <w:r>
        <w:rPr>
          <w:rFonts w:ascii="Times New Roman" w:hAnsi="Times New Roman" w:cs="Times New Roman"/>
          <w:shd w:val="clear" w:color="auto" w:fill="FFFFFF"/>
        </w:rPr>
        <w:t>2</w:t>
      </w:r>
      <w:r>
        <w:rPr>
          <w:rFonts w:ascii="Times New Roman" w:hAnsi="Times New Roman" w:cs="Times New Roman"/>
          <w:shd w:val="clear" w:color="auto" w:fill="FFFFFF"/>
          <w:lang w:eastAsia="zh-Hans"/>
        </w:rPr>
        <w:t>-2</w:t>
      </w:r>
      <w:r>
        <w:rPr>
          <w:rFonts w:ascii="Times New Roman" w:hAnsi="Times New Roman" w:cs="Times New Roman"/>
          <w:shd w:val="clear" w:color="auto" w:fill="FFFFFF"/>
        </w:rPr>
        <w:t>。</w:t>
      </w:r>
    </w:p>
    <w:p>
      <w:pPr>
        <w:spacing w:line="400" w:lineRule="exact"/>
        <w:jc w:val="center"/>
        <w:rPr>
          <w:b/>
          <w:bCs/>
          <w:szCs w:val="21"/>
          <w:lang w:bidi="ar"/>
        </w:rPr>
      </w:pPr>
      <w:r>
        <w:rPr>
          <w:b/>
          <w:bCs/>
          <w:kern w:val="0"/>
          <w:szCs w:val="21"/>
          <w:lang w:bidi="ar"/>
        </w:rPr>
        <w:t>表2-1</w:t>
      </w:r>
      <w:r>
        <w:rPr>
          <w:b/>
          <w:bCs/>
          <w:szCs w:val="21"/>
        </w:rPr>
        <w:t xml:space="preserve"> 教师总数</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0"/>
        <w:gridCol w:w="1737"/>
        <w:gridCol w:w="1682"/>
        <w:gridCol w:w="2043"/>
        <w:gridCol w:w="1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270" w:type="dxa"/>
            <w:vAlign w:val="center"/>
          </w:tcPr>
          <w:p>
            <w:pPr>
              <w:spacing w:line="400" w:lineRule="exact"/>
              <w:jc w:val="center"/>
            </w:pPr>
          </w:p>
        </w:tc>
        <w:tc>
          <w:tcPr>
            <w:tcW w:w="1737" w:type="dxa"/>
            <w:vAlign w:val="center"/>
          </w:tcPr>
          <w:p>
            <w:pPr>
              <w:spacing w:line="400" w:lineRule="exact"/>
              <w:jc w:val="center"/>
            </w:pPr>
            <w:r>
              <w:rPr>
                <w:rFonts w:hint="eastAsia" w:ascii="宋体" w:hAnsi="宋体"/>
                <w:b/>
                <w:szCs w:val="21"/>
              </w:rPr>
              <w:t>专任教师数</w:t>
            </w:r>
          </w:p>
        </w:tc>
        <w:tc>
          <w:tcPr>
            <w:tcW w:w="1682" w:type="dxa"/>
            <w:vAlign w:val="center"/>
          </w:tcPr>
          <w:p>
            <w:pPr>
              <w:spacing w:line="400" w:lineRule="exact"/>
              <w:jc w:val="center"/>
            </w:pPr>
            <w:r>
              <w:rPr>
                <w:rFonts w:hint="eastAsia" w:ascii="宋体" w:hAnsi="宋体"/>
                <w:b/>
                <w:szCs w:val="21"/>
              </w:rPr>
              <w:t>外聘教师数</w:t>
            </w:r>
          </w:p>
        </w:tc>
        <w:tc>
          <w:tcPr>
            <w:tcW w:w="2043" w:type="dxa"/>
            <w:vAlign w:val="center"/>
          </w:tcPr>
          <w:p>
            <w:pPr>
              <w:spacing w:line="400" w:lineRule="exact"/>
              <w:jc w:val="center"/>
            </w:pPr>
            <w:r>
              <w:rPr>
                <w:rFonts w:hint="eastAsia" w:ascii="宋体" w:hAnsi="宋体"/>
                <w:b/>
                <w:szCs w:val="21"/>
              </w:rPr>
              <w:t>折合教师总数</w:t>
            </w:r>
          </w:p>
        </w:tc>
        <w:tc>
          <w:tcPr>
            <w:tcW w:w="1790" w:type="dxa"/>
            <w:vAlign w:val="center"/>
          </w:tcPr>
          <w:p>
            <w:pPr>
              <w:spacing w:line="400" w:lineRule="exact"/>
              <w:jc w:val="center"/>
            </w:pPr>
            <w:r>
              <w:rPr>
                <w:rFonts w:hint="eastAsia" w:ascii="宋体" w:hAnsi="宋体"/>
                <w:b/>
                <w:szCs w:val="21"/>
              </w:rPr>
              <w:t>生师比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0" w:type="dxa"/>
            <w:vAlign w:val="center"/>
          </w:tcPr>
          <w:p>
            <w:pPr>
              <w:spacing w:line="400" w:lineRule="exact"/>
              <w:jc w:val="center"/>
            </w:pPr>
            <w:r>
              <w:rPr>
                <w:rFonts w:hint="eastAsia" w:ascii="宋体" w:hAnsi="宋体"/>
                <w:b/>
                <w:szCs w:val="21"/>
              </w:rPr>
              <w:t>本学年</w:t>
            </w:r>
          </w:p>
        </w:tc>
        <w:tc>
          <w:tcPr>
            <w:tcW w:w="1737" w:type="dxa"/>
            <w:vAlign w:val="center"/>
          </w:tcPr>
          <w:p>
            <w:pPr>
              <w:spacing w:line="400" w:lineRule="exact"/>
              <w:jc w:val="center"/>
            </w:pPr>
            <w:r>
              <w:rPr>
                <w:rFonts w:hint="eastAsia" w:ascii="宋体" w:hAnsi="宋体"/>
                <w:sz w:val="24"/>
                <w:szCs w:val="24"/>
                <w:u w:val="single"/>
              </w:rPr>
              <w:t>407</w:t>
            </w:r>
          </w:p>
        </w:tc>
        <w:tc>
          <w:tcPr>
            <w:tcW w:w="1682" w:type="dxa"/>
            <w:vAlign w:val="center"/>
          </w:tcPr>
          <w:p>
            <w:pPr>
              <w:spacing w:line="400" w:lineRule="exact"/>
              <w:jc w:val="center"/>
            </w:pPr>
            <w:r>
              <w:rPr>
                <w:rFonts w:hint="eastAsia" w:ascii="宋体" w:hAnsi="宋体"/>
                <w:sz w:val="24"/>
                <w:szCs w:val="24"/>
                <w:u w:val="single"/>
              </w:rPr>
              <w:t>267</w:t>
            </w:r>
          </w:p>
        </w:tc>
        <w:tc>
          <w:tcPr>
            <w:tcW w:w="2043" w:type="dxa"/>
            <w:vAlign w:val="center"/>
          </w:tcPr>
          <w:p>
            <w:pPr>
              <w:spacing w:line="400" w:lineRule="exact"/>
              <w:jc w:val="center"/>
            </w:pPr>
            <w:r>
              <w:rPr>
                <w:rFonts w:hint="eastAsia" w:ascii="宋体" w:hAnsi="宋体"/>
                <w:sz w:val="24"/>
                <w:szCs w:val="24"/>
                <w:u w:val="single"/>
              </w:rPr>
              <w:t>542.0</w:t>
            </w:r>
          </w:p>
        </w:tc>
        <w:tc>
          <w:tcPr>
            <w:tcW w:w="1790" w:type="dxa"/>
            <w:vAlign w:val="center"/>
          </w:tcPr>
          <w:p>
            <w:pPr>
              <w:spacing w:line="400" w:lineRule="exact"/>
              <w:jc w:val="center"/>
            </w:pPr>
            <w:r>
              <w:rPr>
                <w:rFonts w:hint="eastAsia" w:ascii="宋体" w:hAnsi="宋体"/>
                <w:sz w:val="24"/>
                <w:szCs w:val="24"/>
                <w:u w:val="single"/>
              </w:rPr>
              <w:t>13.49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270" w:type="dxa"/>
            <w:vAlign w:val="center"/>
          </w:tcPr>
          <w:p>
            <w:pPr>
              <w:spacing w:line="400" w:lineRule="exact"/>
              <w:jc w:val="center"/>
            </w:pPr>
            <w:r>
              <w:rPr>
                <w:rFonts w:hint="eastAsia" w:ascii="宋体" w:hAnsi="宋体"/>
                <w:b/>
                <w:szCs w:val="21"/>
              </w:rPr>
              <w:t>上学年</w:t>
            </w:r>
          </w:p>
        </w:tc>
        <w:tc>
          <w:tcPr>
            <w:tcW w:w="1737" w:type="dxa"/>
            <w:vAlign w:val="center"/>
          </w:tcPr>
          <w:p>
            <w:pPr>
              <w:spacing w:line="400" w:lineRule="exact"/>
              <w:jc w:val="center"/>
            </w:pPr>
            <w:r>
              <w:rPr>
                <w:rFonts w:hint="eastAsia" w:ascii="宋体" w:hAnsi="宋体"/>
                <w:sz w:val="24"/>
                <w:szCs w:val="24"/>
                <w:u w:val="single"/>
              </w:rPr>
              <w:t>370</w:t>
            </w:r>
          </w:p>
        </w:tc>
        <w:tc>
          <w:tcPr>
            <w:tcW w:w="1682" w:type="dxa"/>
            <w:vAlign w:val="center"/>
          </w:tcPr>
          <w:p>
            <w:pPr>
              <w:spacing w:line="400" w:lineRule="exact"/>
              <w:jc w:val="center"/>
            </w:pPr>
            <w:r>
              <w:rPr>
                <w:rFonts w:hint="eastAsia" w:ascii="宋体" w:hAnsi="宋体"/>
                <w:sz w:val="24"/>
                <w:szCs w:val="24"/>
                <w:u w:val="single"/>
              </w:rPr>
              <w:t>282</w:t>
            </w:r>
          </w:p>
        </w:tc>
        <w:tc>
          <w:tcPr>
            <w:tcW w:w="2043" w:type="dxa"/>
            <w:vAlign w:val="center"/>
          </w:tcPr>
          <w:p>
            <w:pPr>
              <w:spacing w:line="400" w:lineRule="exact"/>
              <w:jc w:val="center"/>
            </w:pPr>
            <w:r>
              <w:rPr>
                <w:rFonts w:hint="eastAsia" w:ascii="宋体" w:hAnsi="宋体"/>
                <w:sz w:val="24"/>
                <w:szCs w:val="24"/>
                <w:u w:val="single"/>
              </w:rPr>
              <w:t>497.75</w:t>
            </w:r>
          </w:p>
        </w:tc>
        <w:tc>
          <w:tcPr>
            <w:tcW w:w="1790" w:type="dxa"/>
            <w:vAlign w:val="center"/>
          </w:tcPr>
          <w:p>
            <w:pPr>
              <w:spacing w:line="400" w:lineRule="exact"/>
              <w:jc w:val="center"/>
            </w:pPr>
            <w:r>
              <w:rPr>
                <w:rFonts w:hint="eastAsia" w:ascii="宋体" w:hAnsi="宋体"/>
                <w:sz w:val="24"/>
                <w:szCs w:val="24"/>
                <w:u w:val="single"/>
              </w:rPr>
              <w:t>12.04</w:t>
            </w:r>
          </w:p>
        </w:tc>
      </w:tr>
    </w:tbl>
    <w:p>
      <w:pPr>
        <w:spacing w:line="400" w:lineRule="exact"/>
        <w:jc w:val="center"/>
        <w:rPr>
          <w:b/>
          <w:bCs/>
          <w:kern w:val="0"/>
          <w:szCs w:val="21"/>
          <w:lang w:bidi="ar"/>
        </w:rPr>
      </w:pPr>
      <w:r>
        <w:rPr>
          <w:b/>
          <w:bCs/>
          <w:kern w:val="0"/>
          <w:szCs w:val="21"/>
          <w:lang w:bidi="ar"/>
        </w:rPr>
        <w:t>表2-2 教师队伍职称、学位、年龄结构</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405"/>
        <w:gridCol w:w="1580"/>
        <w:gridCol w:w="1588"/>
        <w:gridCol w:w="1637"/>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186" w:type="dxa"/>
            <w:gridSpan w:val="2"/>
            <w:vMerge w:val="restart"/>
            <w:vAlign w:val="center"/>
          </w:tcPr>
          <w:p>
            <w:pPr>
              <w:spacing w:line="400" w:lineRule="exact"/>
              <w:jc w:val="center"/>
              <w:rPr>
                <w:rFonts w:ascii="宋体" w:hAnsi="宋体"/>
                <w:b/>
                <w:szCs w:val="21"/>
              </w:rPr>
            </w:pPr>
            <w:bookmarkStart w:id="49" w:name="_Toc21775"/>
            <w:bookmarkStart w:id="50" w:name="_Toc27732517"/>
            <w:bookmarkStart w:id="51" w:name="_Toc19106"/>
            <w:bookmarkStart w:id="52" w:name="_Toc31546"/>
            <w:bookmarkStart w:id="53" w:name="_Toc1635"/>
            <w:bookmarkStart w:id="54" w:name="_Toc28081"/>
            <w:r>
              <w:rPr>
                <w:rFonts w:hint="eastAsia" w:ascii="宋体" w:hAnsi="宋体"/>
                <w:b/>
                <w:szCs w:val="21"/>
              </w:rPr>
              <w:t>项目</w:t>
            </w:r>
          </w:p>
        </w:tc>
        <w:tc>
          <w:tcPr>
            <w:tcW w:w="3168" w:type="dxa"/>
            <w:gridSpan w:val="2"/>
            <w:vAlign w:val="center"/>
          </w:tcPr>
          <w:p>
            <w:pPr>
              <w:spacing w:line="400" w:lineRule="exact"/>
              <w:jc w:val="center"/>
            </w:pPr>
            <w:r>
              <w:rPr>
                <w:rFonts w:hint="eastAsia" w:ascii="宋体" w:hAnsi="宋体"/>
                <w:b/>
                <w:szCs w:val="21"/>
              </w:rPr>
              <w:t>专任教师</w:t>
            </w:r>
          </w:p>
        </w:tc>
        <w:tc>
          <w:tcPr>
            <w:tcW w:w="3168" w:type="dxa"/>
            <w:gridSpan w:val="2"/>
            <w:vAlign w:val="center"/>
          </w:tcPr>
          <w:p>
            <w:pPr>
              <w:spacing w:line="400" w:lineRule="exact"/>
              <w:jc w:val="center"/>
            </w:pPr>
            <w:r>
              <w:rPr>
                <w:rFonts w:hint="eastAsia" w:ascii="宋体" w:hAnsi="宋体"/>
                <w:b/>
                <w:szCs w:val="21"/>
              </w:rPr>
              <w:t>外聘教师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186" w:type="dxa"/>
            <w:gridSpan w:val="2"/>
            <w:vMerge w:val="continue"/>
            <w:vAlign w:val="center"/>
          </w:tcPr>
          <w:p>
            <w:pPr>
              <w:spacing w:line="400" w:lineRule="exact"/>
              <w:jc w:val="center"/>
            </w:pPr>
          </w:p>
        </w:tc>
        <w:tc>
          <w:tcPr>
            <w:tcW w:w="1580" w:type="dxa"/>
            <w:vAlign w:val="center"/>
          </w:tcPr>
          <w:p>
            <w:pPr>
              <w:spacing w:line="400" w:lineRule="exact"/>
              <w:jc w:val="center"/>
            </w:pPr>
            <w:r>
              <w:rPr>
                <w:rFonts w:hint="eastAsia" w:ascii="宋体" w:hAnsi="宋体"/>
                <w:b/>
                <w:szCs w:val="21"/>
              </w:rPr>
              <w:t>数量</w:t>
            </w:r>
          </w:p>
        </w:tc>
        <w:tc>
          <w:tcPr>
            <w:tcW w:w="1588" w:type="dxa"/>
            <w:vAlign w:val="center"/>
          </w:tcPr>
          <w:p>
            <w:pPr>
              <w:spacing w:line="400" w:lineRule="exact"/>
              <w:jc w:val="center"/>
            </w:pPr>
            <w:r>
              <w:rPr>
                <w:rFonts w:hint="eastAsia" w:ascii="宋体" w:hAnsi="宋体"/>
                <w:b/>
                <w:szCs w:val="21"/>
              </w:rPr>
              <w:t>比例（%）</w:t>
            </w:r>
          </w:p>
        </w:tc>
        <w:tc>
          <w:tcPr>
            <w:tcW w:w="1637" w:type="dxa"/>
            <w:vAlign w:val="center"/>
          </w:tcPr>
          <w:p>
            <w:pPr>
              <w:spacing w:line="400" w:lineRule="exact"/>
              <w:jc w:val="center"/>
            </w:pPr>
            <w:r>
              <w:rPr>
                <w:rFonts w:hint="eastAsia" w:ascii="宋体" w:hAnsi="宋体"/>
                <w:b/>
                <w:szCs w:val="21"/>
              </w:rPr>
              <w:t>数量</w:t>
            </w:r>
          </w:p>
        </w:tc>
        <w:tc>
          <w:tcPr>
            <w:tcW w:w="1531" w:type="dxa"/>
            <w:vAlign w:val="center"/>
          </w:tcPr>
          <w:p>
            <w:pPr>
              <w:spacing w:line="400" w:lineRule="exact"/>
              <w:jc w:val="center"/>
            </w:pPr>
            <w:r>
              <w:rPr>
                <w:rFonts w:hint="eastAsia" w:ascii="宋体" w:hAnsi="宋体"/>
                <w:b/>
                <w:szCs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2186" w:type="dxa"/>
            <w:gridSpan w:val="2"/>
            <w:vAlign w:val="center"/>
          </w:tcPr>
          <w:p>
            <w:pPr>
              <w:spacing w:line="400" w:lineRule="exact"/>
              <w:jc w:val="center"/>
              <w:rPr>
                <w:rFonts w:ascii="宋体" w:hAnsi="宋体"/>
                <w:b/>
                <w:szCs w:val="21"/>
              </w:rPr>
            </w:pPr>
            <w:r>
              <w:rPr>
                <w:rFonts w:hint="eastAsia" w:ascii="宋体" w:hAnsi="宋体"/>
                <w:b/>
                <w:szCs w:val="21"/>
              </w:rPr>
              <w:t>总计</w:t>
            </w:r>
          </w:p>
        </w:tc>
        <w:tc>
          <w:tcPr>
            <w:tcW w:w="1580" w:type="dxa"/>
            <w:vAlign w:val="center"/>
          </w:tcPr>
          <w:p>
            <w:pPr>
              <w:spacing w:line="400" w:lineRule="exact"/>
              <w:jc w:val="center"/>
            </w:pPr>
            <w:r>
              <w:rPr>
                <w:rFonts w:hint="eastAsia"/>
              </w:rPr>
              <w:t>407</w:t>
            </w:r>
          </w:p>
        </w:tc>
        <w:tc>
          <w:tcPr>
            <w:tcW w:w="1588" w:type="dxa"/>
            <w:vAlign w:val="center"/>
          </w:tcPr>
          <w:p>
            <w:pPr>
              <w:spacing w:line="400" w:lineRule="exact"/>
              <w:jc w:val="center"/>
            </w:pPr>
            <w:r>
              <w:rPr>
                <w:rFonts w:hint="eastAsia" w:ascii="宋体" w:hAnsi="宋体"/>
                <w:szCs w:val="21"/>
              </w:rPr>
              <w:t>/</w:t>
            </w:r>
          </w:p>
        </w:tc>
        <w:tc>
          <w:tcPr>
            <w:tcW w:w="1637" w:type="dxa"/>
            <w:vAlign w:val="center"/>
          </w:tcPr>
          <w:p>
            <w:pPr>
              <w:spacing w:line="400" w:lineRule="exact"/>
              <w:jc w:val="center"/>
            </w:pPr>
            <w:r>
              <w:rPr>
                <w:rFonts w:hint="eastAsia"/>
              </w:rPr>
              <w:t>267</w:t>
            </w:r>
          </w:p>
        </w:tc>
        <w:tc>
          <w:tcPr>
            <w:tcW w:w="1531" w:type="dxa"/>
            <w:vAlign w:val="center"/>
          </w:tcPr>
          <w:p>
            <w:pPr>
              <w:spacing w:line="400" w:lineRule="exact"/>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spacing w:line="400" w:lineRule="exact"/>
              <w:jc w:val="center"/>
            </w:pPr>
            <w:r>
              <w:rPr>
                <w:rFonts w:hint="eastAsia" w:ascii="宋体" w:hAnsi="宋体"/>
                <w:b/>
                <w:szCs w:val="21"/>
              </w:rPr>
              <w:t>职称</w:t>
            </w:r>
          </w:p>
        </w:tc>
        <w:tc>
          <w:tcPr>
            <w:tcW w:w="1405" w:type="dxa"/>
            <w:vAlign w:val="center"/>
          </w:tcPr>
          <w:p>
            <w:pPr>
              <w:spacing w:line="400" w:lineRule="exact"/>
              <w:jc w:val="center"/>
              <w:rPr>
                <w:rFonts w:ascii="宋体" w:hAnsi="宋体"/>
                <w:b/>
                <w:szCs w:val="21"/>
              </w:rPr>
            </w:pPr>
            <w:r>
              <w:rPr>
                <w:rFonts w:hint="eastAsia" w:ascii="宋体" w:hAnsi="宋体"/>
                <w:b/>
                <w:szCs w:val="21"/>
              </w:rPr>
              <w:t>正高级</w:t>
            </w:r>
          </w:p>
        </w:tc>
        <w:tc>
          <w:tcPr>
            <w:tcW w:w="1580" w:type="dxa"/>
            <w:vAlign w:val="center"/>
          </w:tcPr>
          <w:p>
            <w:pPr>
              <w:spacing w:line="400" w:lineRule="exact"/>
              <w:jc w:val="center"/>
            </w:pPr>
            <w:r>
              <w:rPr>
                <w:rFonts w:hint="eastAsia"/>
              </w:rPr>
              <w:t>49</w:t>
            </w:r>
          </w:p>
        </w:tc>
        <w:tc>
          <w:tcPr>
            <w:tcW w:w="1588" w:type="dxa"/>
            <w:vAlign w:val="center"/>
          </w:tcPr>
          <w:p>
            <w:pPr>
              <w:spacing w:line="400" w:lineRule="exact"/>
              <w:jc w:val="center"/>
            </w:pPr>
            <w:r>
              <w:rPr>
                <w:rFonts w:hint="eastAsia"/>
              </w:rPr>
              <w:t>12.04</w:t>
            </w:r>
          </w:p>
        </w:tc>
        <w:tc>
          <w:tcPr>
            <w:tcW w:w="1637" w:type="dxa"/>
            <w:vAlign w:val="center"/>
          </w:tcPr>
          <w:p>
            <w:pPr>
              <w:spacing w:line="400" w:lineRule="exact"/>
              <w:jc w:val="center"/>
            </w:pPr>
            <w:r>
              <w:rPr>
                <w:rFonts w:hint="eastAsia"/>
              </w:rPr>
              <w:t>23</w:t>
            </w:r>
          </w:p>
        </w:tc>
        <w:tc>
          <w:tcPr>
            <w:tcW w:w="1531" w:type="dxa"/>
            <w:vAlign w:val="center"/>
          </w:tcPr>
          <w:p>
            <w:pPr>
              <w:spacing w:line="400" w:lineRule="exact"/>
              <w:jc w:val="center"/>
            </w:pPr>
            <w:r>
              <w:rPr>
                <w:rFonts w:hint="eastAsia"/>
              </w:rPr>
              <w:t>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rPr>
                <w:rFonts w:ascii="宋体" w:hAnsi="宋体"/>
                <w:b/>
                <w:szCs w:val="21"/>
              </w:rPr>
            </w:pPr>
            <w:r>
              <w:rPr>
                <w:rFonts w:hint="eastAsia" w:ascii="宋体" w:hAnsi="宋体"/>
                <w:b/>
                <w:szCs w:val="21"/>
              </w:rPr>
              <w:t>其中教授</w:t>
            </w:r>
          </w:p>
        </w:tc>
        <w:tc>
          <w:tcPr>
            <w:tcW w:w="1580" w:type="dxa"/>
            <w:vAlign w:val="center"/>
          </w:tcPr>
          <w:p>
            <w:pPr>
              <w:spacing w:line="400" w:lineRule="exact"/>
              <w:jc w:val="center"/>
            </w:pPr>
            <w:r>
              <w:rPr>
                <w:rFonts w:hint="eastAsia"/>
              </w:rPr>
              <w:t>39</w:t>
            </w:r>
          </w:p>
        </w:tc>
        <w:tc>
          <w:tcPr>
            <w:tcW w:w="1588" w:type="dxa"/>
            <w:vAlign w:val="center"/>
          </w:tcPr>
          <w:p>
            <w:pPr>
              <w:spacing w:line="400" w:lineRule="exact"/>
              <w:jc w:val="center"/>
            </w:pPr>
            <w:r>
              <w:rPr>
                <w:rFonts w:hint="eastAsia"/>
              </w:rPr>
              <w:t>9.58</w:t>
            </w:r>
          </w:p>
        </w:tc>
        <w:tc>
          <w:tcPr>
            <w:tcW w:w="1637" w:type="dxa"/>
            <w:vAlign w:val="center"/>
          </w:tcPr>
          <w:p>
            <w:pPr>
              <w:spacing w:line="400" w:lineRule="exact"/>
              <w:jc w:val="center"/>
            </w:pPr>
            <w:r>
              <w:rPr>
                <w:rFonts w:hint="eastAsia"/>
              </w:rPr>
              <w:t>12</w:t>
            </w:r>
          </w:p>
        </w:tc>
        <w:tc>
          <w:tcPr>
            <w:tcW w:w="1531" w:type="dxa"/>
            <w:vAlign w:val="center"/>
          </w:tcPr>
          <w:p>
            <w:pPr>
              <w:spacing w:line="400" w:lineRule="exact"/>
              <w:jc w:val="center"/>
            </w:pPr>
            <w:r>
              <w:rPr>
                <w:rFonts w:hint="eastAsia"/>
              </w:rP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rPr>
                <w:rFonts w:ascii="宋体" w:hAnsi="宋体"/>
                <w:b/>
                <w:szCs w:val="21"/>
              </w:rPr>
            </w:pPr>
            <w:r>
              <w:rPr>
                <w:rFonts w:hint="eastAsia" w:ascii="宋体" w:hAnsi="宋体"/>
                <w:b/>
                <w:szCs w:val="21"/>
              </w:rPr>
              <w:t>副高级</w:t>
            </w:r>
          </w:p>
        </w:tc>
        <w:tc>
          <w:tcPr>
            <w:tcW w:w="1580" w:type="dxa"/>
            <w:vAlign w:val="center"/>
          </w:tcPr>
          <w:p>
            <w:pPr>
              <w:spacing w:line="400" w:lineRule="exact"/>
              <w:jc w:val="center"/>
            </w:pPr>
            <w:r>
              <w:rPr>
                <w:rFonts w:hint="eastAsia"/>
              </w:rPr>
              <w:t>98</w:t>
            </w:r>
          </w:p>
        </w:tc>
        <w:tc>
          <w:tcPr>
            <w:tcW w:w="1588" w:type="dxa"/>
            <w:vAlign w:val="center"/>
          </w:tcPr>
          <w:p>
            <w:pPr>
              <w:spacing w:line="400" w:lineRule="exact"/>
              <w:jc w:val="center"/>
            </w:pPr>
            <w:r>
              <w:rPr>
                <w:rFonts w:hint="eastAsia"/>
              </w:rPr>
              <w:t>24.08</w:t>
            </w:r>
          </w:p>
        </w:tc>
        <w:tc>
          <w:tcPr>
            <w:tcW w:w="1637" w:type="dxa"/>
            <w:vAlign w:val="center"/>
          </w:tcPr>
          <w:p>
            <w:pPr>
              <w:spacing w:line="400" w:lineRule="exact"/>
              <w:jc w:val="center"/>
            </w:pPr>
            <w:r>
              <w:rPr>
                <w:rFonts w:hint="eastAsia"/>
              </w:rPr>
              <w:t>83</w:t>
            </w:r>
          </w:p>
        </w:tc>
        <w:tc>
          <w:tcPr>
            <w:tcW w:w="1531" w:type="dxa"/>
            <w:vAlign w:val="center"/>
          </w:tcPr>
          <w:p>
            <w:pPr>
              <w:spacing w:line="400" w:lineRule="exact"/>
              <w:jc w:val="center"/>
            </w:pPr>
            <w:r>
              <w:rPr>
                <w:rFonts w:hint="eastAsia"/>
              </w:rPr>
              <w:t>31.09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rPr>
                <w:rFonts w:ascii="宋体" w:hAnsi="宋体"/>
                <w:b/>
                <w:szCs w:val="21"/>
              </w:rPr>
            </w:pPr>
            <w:r>
              <w:rPr>
                <w:rFonts w:hint="eastAsia" w:ascii="宋体" w:hAnsi="宋体"/>
                <w:b/>
                <w:szCs w:val="21"/>
              </w:rPr>
              <w:t>其中副教授</w:t>
            </w:r>
          </w:p>
        </w:tc>
        <w:tc>
          <w:tcPr>
            <w:tcW w:w="1580" w:type="dxa"/>
            <w:vAlign w:val="center"/>
          </w:tcPr>
          <w:p>
            <w:pPr>
              <w:spacing w:line="400" w:lineRule="exact"/>
              <w:jc w:val="center"/>
            </w:pPr>
            <w:r>
              <w:rPr>
                <w:rFonts w:hint="eastAsia"/>
              </w:rPr>
              <w:t>67</w:t>
            </w:r>
          </w:p>
        </w:tc>
        <w:tc>
          <w:tcPr>
            <w:tcW w:w="1588" w:type="dxa"/>
            <w:vAlign w:val="center"/>
          </w:tcPr>
          <w:p>
            <w:pPr>
              <w:spacing w:line="400" w:lineRule="exact"/>
              <w:jc w:val="center"/>
            </w:pPr>
            <w:r>
              <w:rPr>
                <w:rFonts w:hint="eastAsia"/>
              </w:rPr>
              <w:t>16.46</w:t>
            </w:r>
          </w:p>
        </w:tc>
        <w:tc>
          <w:tcPr>
            <w:tcW w:w="1637" w:type="dxa"/>
            <w:vAlign w:val="center"/>
          </w:tcPr>
          <w:p>
            <w:pPr>
              <w:spacing w:line="400" w:lineRule="exact"/>
              <w:jc w:val="center"/>
            </w:pPr>
            <w:r>
              <w:rPr>
                <w:rFonts w:hint="eastAsia"/>
              </w:rPr>
              <w:t>43</w:t>
            </w:r>
          </w:p>
        </w:tc>
        <w:tc>
          <w:tcPr>
            <w:tcW w:w="1531" w:type="dxa"/>
            <w:vAlign w:val="center"/>
          </w:tcPr>
          <w:p>
            <w:pPr>
              <w:spacing w:line="400" w:lineRule="exact"/>
              <w:jc w:val="center"/>
            </w:pPr>
            <w:r>
              <w:rPr>
                <w:rFonts w:hint="eastAsia"/>
              </w:rPr>
              <w:t>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中级</w:t>
            </w:r>
          </w:p>
        </w:tc>
        <w:tc>
          <w:tcPr>
            <w:tcW w:w="1580" w:type="dxa"/>
            <w:vAlign w:val="center"/>
          </w:tcPr>
          <w:p>
            <w:pPr>
              <w:spacing w:line="400" w:lineRule="exact"/>
              <w:jc w:val="center"/>
            </w:pPr>
            <w:r>
              <w:rPr>
                <w:rFonts w:hint="eastAsia"/>
              </w:rPr>
              <w:t>83</w:t>
            </w:r>
          </w:p>
        </w:tc>
        <w:tc>
          <w:tcPr>
            <w:tcW w:w="1588" w:type="dxa"/>
            <w:vAlign w:val="center"/>
          </w:tcPr>
          <w:p>
            <w:pPr>
              <w:spacing w:line="400" w:lineRule="exact"/>
              <w:jc w:val="center"/>
              <w:rPr>
                <w:rFonts w:ascii="Calibri" w:hAnsi="Calibri"/>
              </w:rPr>
            </w:pPr>
            <w:r>
              <w:rPr>
                <w:rFonts w:hint="eastAsia"/>
              </w:rPr>
              <w:t>20.39</w:t>
            </w:r>
          </w:p>
        </w:tc>
        <w:tc>
          <w:tcPr>
            <w:tcW w:w="1637" w:type="dxa"/>
            <w:vAlign w:val="center"/>
          </w:tcPr>
          <w:p>
            <w:pPr>
              <w:spacing w:line="400" w:lineRule="exact"/>
              <w:jc w:val="center"/>
            </w:pPr>
            <w:r>
              <w:rPr>
                <w:rFonts w:hint="eastAsia"/>
              </w:rPr>
              <w:t>110</w:t>
            </w:r>
          </w:p>
        </w:tc>
        <w:tc>
          <w:tcPr>
            <w:tcW w:w="1531" w:type="dxa"/>
            <w:vAlign w:val="center"/>
          </w:tcPr>
          <w:p>
            <w:pPr>
              <w:spacing w:line="400" w:lineRule="exact"/>
              <w:jc w:val="center"/>
            </w:pPr>
            <w:r>
              <w:rPr>
                <w:rFonts w:hint="eastAsia"/>
              </w:rPr>
              <w:t>41.20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其中讲师</w:t>
            </w:r>
          </w:p>
        </w:tc>
        <w:tc>
          <w:tcPr>
            <w:tcW w:w="1580" w:type="dxa"/>
            <w:vAlign w:val="center"/>
          </w:tcPr>
          <w:p>
            <w:pPr>
              <w:spacing w:line="400" w:lineRule="exact"/>
              <w:jc w:val="center"/>
            </w:pPr>
            <w:r>
              <w:rPr>
                <w:rFonts w:hint="eastAsia"/>
              </w:rPr>
              <w:t>43</w:t>
            </w:r>
          </w:p>
        </w:tc>
        <w:tc>
          <w:tcPr>
            <w:tcW w:w="1588" w:type="dxa"/>
            <w:vAlign w:val="center"/>
          </w:tcPr>
          <w:p>
            <w:pPr>
              <w:spacing w:line="400" w:lineRule="exact"/>
              <w:jc w:val="center"/>
            </w:pPr>
            <w:r>
              <w:rPr>
                <w:rFonts w:hint="eastAsia"/>
              </w:rPr>
              <w:t>10.57</w:t>
            </w:r>
          </w:p>
        </w:tc>
        <w:tc>
          <w:tcPr>
            <w:tcW w:w="1637" w:type="dxa"/>
            <w:vAlign w:val="center"/>
          </w:tcPr>
          <w:p>
            <w:pPr>
              <w:spacing w:line="400" w:lineRule="exact"/>
              <w:jc w:val="center"/>
            </w:pPr>
            <w:r>
              <w:rPr>
                <w:rFonts w:hint="eastAsia"/>
              </w:rPr>
              <w:t>39</w:t>
            </w:r>
          </w:p>
        </w:tc>
        <w:tc>
          <w:tcPr>
            <w:tcW w:w="1531" w:type="dxa"/>
            <w:vAlign w:val="center"/>
          </w:tcPr>
          <w:p>
            <w:pPr>
              <w:spacing w:line="400" w:lineRule="exact"/>
              <w:jc w:val="center"/>
            </w:pPr>
            <w:r>
              <w:rPr>
                <w:rFonts w:hint="eastAsia"/>
              </w:rPr>
              <w:t>14.61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初级</w:t>
            </w:r>
          </w:p>
        </w:tc>
        <w:tc>
          <w:tcPr>
            <w:tcW w:w="1580" w:type="dxa"/>
            <w:vAlign w:val="center"/>
          </w:tcPr>
          <w:p>
            <w:pPr>
              <w:spacing w:line="400" w:lineRule="exact"/>
              <w:jc w:val="center"/>
            </w:pPr>
            <w:r>
              <w:rPr>
                <w:rFonts w:hint="eastAsia"/>
              </w:rPr>
              <w:t>52</w:t>
            </w:r>
          </w:p>
        </w:tc>
        <w:tc>
          <w:tcPr>
            <w:tcW w:w="1588" w:type="dxa"/>
            <w:vAlign w:val="center"/>
          </w:tcPr>
          <w:p>
            <w:pPr>
              <w:spacing w:line="400" w:lineRule="exact"/>
              <w:jc w:val="center"/>
            </w:pPr>
            <w:r>
              <w:rPr>
                <w:rFonts w:hint="eastAsia"/>
              </w:rPr>
              <w:t>12.78</w:t>
            </w:r>
          </w:p>
        </w:tc>
        <w:tc>
          <w:tcPr>
            <w:tcW w:w="1637" w:type="dxa"/>
            <w:vAlign w:val="center"/>
          </w:tcPr>
          <w:p>
            <w:pPr>
              <w:spacing w:line="400" w:lineRule="exact"/>
              <w:jc w:val="center"/>
            </w:pPr>
            <w:r>
              <w:rPr>
                <w:rFonts w:hint="eastAsia"/>
              </w:rPr>
              <w:t>41</w:t>
            </w:r>
          </w:p>
        </w:tc>
        <w:tc>
          <w:tcPr>
            <w:tcW w:w="1531" w:type="dxa"/>
            <w:vAlign w:val="center"/>
          </w:tcPr>
          <w:p>
            <w:pPr>
              <w:spacing w:line="400" w:lineRule="exact"/>
              <w:jc w:val="center"/>
            </w:pPr>
            <w:r>
              <w:rPr>
                <w:rFonts w:hint="eastAsia"/>
              </w:rPr>
              <w:t>15.36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其中助教</w:t>
            </w:r>
          </w:p>
        </w:tc>
        <w:tc>
          <w:tcPr>
            <w:tcW w:w="1580" w:type="dxa"/>
            <w:vAlign w:val="center"/>
          </w:tcPr>
          <w:p>
            <w:pPr>
              <w:spacing w:line="400" w:lineRule="exact"/>
              <w:jc w:val="center"/>
            </w:pPr>
            <w:r>
              <w:rPr>
                <w:rFonts w:hint="eastAsia"/>
              </w:rPr>
              <w:t>28</w:t>
            </w:r>
          </w:p>
        </w:tc>
        <w:tc>
          <w:tcPr>
            <w:tcW w:w="1588" w:type="dxa"/>
            <w:vAlign w:val="center"/>
          </w:tcPr>
          <w:p>
            <w:pPr>
              <w:spacing w:line="400" w:lineRule="exact"/>
              <w:jc w:val="center"/>
            </w:pPr>
            <w:r>
              <w:rPr>
                <w:rFonts w:hint="eastAsia"/>
              </w:rPr>
              <w:t>6.88</w:t>
            </w:r>
          </w:p>
        </w:tc>
        <w:tc>
          <w:tcPr>
            <w:tcW w:w="1637" w:type="dxa"/>
            <w:vAlign w:val="center"/>
          </w:tcPr>
          <w:p>
            <w:pPr>
              <w:spacing w:line="400" w:lineRule="exact"/>
              <w:jc w:val="center"/>
            </w:pPr>
            <w:r>
              <w:rPr>
                <w:rFonts w:hint="eastAsia"/>
              </w:rPr>
              <w:t>18</w:t>
            </w:r>
          </w:p>
        </w:tc>
        <w:tc>
          <w:tcPr>
            <w:tcW w:w="1531" w:type="dxa"/>
            <w:vAlign w:val="center"/>
          </w:tcPr>
          <w:p>
            <w:pPr>
              <w:spacing w:line="400" w:lineRule="exact"/>
              <w:jc w:val="center"/>
            </w:pPr>
            <w:r>
              <w:rPr>
                <w:rFonts w:hint="eastAsia"/>
              </w:rPr>
              <w:t>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未评级</w:t>
            </w:r>
          </w:p>
        </w:tc>
        <w:tc>
          <w:tcPr>
            <w:tcW w:w="1580" w:type="dxa"/>
            <w:vAlign w:val="center"/>
          </w:tcPr>
          <w:p>
            <w:pPr>
              <w:spacing w:line="400" w:lineRule="exact"/>
              <w:jc w:val="center"/>
            </w:pPr>
            <w:r>
              <w:rPr>
                <w:rFonts w:hint="eastAsia"/>
              </w:rPr>
              <w:t>125</w:t>
            </w:r>
          </w:p>
        </w:tc>
        <w:tc>
          <w:tcPr>
            <w:tcW w:w="1588" w:type="dxa"/>
            <w:vAlign w:val="center"/>
          </w:tcPr>
          <w:p>
            <w:pPr>
              <w:spacing w:line="400" w:lineRule="exact"/>
              <w:jc w:val="center"/>
            </w:pPr>
            <w:r>
              <w:rPr>
                <w:rFonts w:hint="eastAsia"/>
              </w:rPr>
              <w:t>30.71</w:t>
            </w:r>
          </w:p>
        </w:tc>
        <w:tc>
          <w:tcPr>
            <w:tcW w:w="1637" w:type="dxa"/>
            <w:vAlign w:val="center"/>
          </w:tcPr>
          <w:p>
            <w:pPr>
              <w:spacing w:line="400" w:lineRule="exact"/>
              <w:jc w:val="center"/>
            </w:pPr>
            <w:r>
              <w:rPr>
                <w:rFonts w:hint="eastAsia"/>
              </w:rPr>
              <w:t>10</w:t>
            </w:r>
          </w:p>
        </w:tc>
        <w:tc>
          <w:tcPr>
            <w:tcW w:w="1531" w:type="dxa"/>
            <w:vAlign w:val="center"/>
          </w:tcPr>
          <w:p>
            <w:pPr>
              <w:spacing w:line="400" w:lineRule="exact"/>
              <w:jc w:val="center"/>
            </w:pPr>
            <w:r>
              <w:rPr>
                <w:rFonts w:hint="eastAsia"/>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spacing w:line="400" w:lineRule="exact"/>
              <w:jc w:val="center"/>
            </w:pPr>
            <w:r>
              <w:rPr>
                <w:rFonts w:hint="eastAsia" w:ascii="宋体" w:hAnsi="宋体"/>
                <w:b/>
                <w:szCs w:val="21"/>
              </w:rPr>
              <w:t>最高学位</w:t>
            </w:r>
          </w:p>
        </w:tc>
        <w:tc>
          <w:tcPr>
            <w:tcW w:w="1405" w:type="dxa"/>
            <w:vAlign w:val="center"/>
          </w:tcPr>
          <w:p>
            <w:pPr>
              <w:spacing w:line="400" w:lineRule="exact"/>
              <w:jc w:val="center"/>
            </w:pPr>
            <w:r>
              <w:rPr>
                <w:rFonts w:hint="eastAsia" w:ascii="宋体" w:hAnsi="宋体"/>
                <w:b/>
                <w:szCs w:val="21"/>
              </w:rPr>
              <w:t>博士</w:t>
            </w:r>
          </w:p>
        </w:tc>
        <w:tc>
          <w:tcPr>
            <w:tcW w:w="1580" w:type="dxa"/>
            <w:vAlign w:val="center"/>
          </w:tcPr>
          <w:p>
            <w:pPr>
              <w:spacing w:line="400" w:lineRule="exact"/>
              <w:jc w:val="center"/>
            </w:pPr>
            <w:r>
              <w:rPr>
                <w:rFonts w:hint="eastAsia"/>
              </w:rPr>
              <w:t>72</w:t>
            </w:r>
          </w:p>
        </w:tc>
        <w:tc>
          <w:tcPr>
            <w:tcW w:w="1588" w:type="dxa"/>
            <w:vAlign w:val="center"/>
          </w:tcPr>
          <w:p>
            <w:pPr>
              <w:spacing w:line="400" w:lineRule="exact"/>
              <w:jc w:val="center"/>
            </w:pPr>
            <w:r>
              <w:rPr>
                <w:rFonts w:hint="eastAsia"/>
              </w:rPr>
              <w:t>17.69</w:t>
            </w:r>
          </w:p>
        </w:tc>
        <w:tc>
          <w:tcPr>
            <w:tcW w:w="1637" w:type="dxa"/>
            <w:vAlign w:val="center"/>
          </w:tcPr>
          <w:p>
            <w:pPr>
              <w:spacing w:line="400" w:lineRule="exact"/>
              <w:jc w:val="center"/>
            </w:pPr>
            <w:r>
              <w:rPr>
                <w:rFonts w:hint="eastAsia"/>
              </w:rPr>
              <w:t>49</w:t>
            </w:r>
          </w:p>
        </w:tc>
        <w:tc>
          <w:tcPr>
            <w:tcW w:w="1531" w:type="dxa"/>
            <w:vAlign w:val="center"/>
          </w:tcPr>
          <w:p>
            <w:pPr>
              <w:spacing w:line="400" w:lineRule="exact"/>
              <w:jc w:val="center"/>
            </w:pPr>
            <w:r>
              <w:rPr>
                <w:rFonts w:hint="eastAsia"/>
              </w:rPr>
              <w:t>18.35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硕士</w:t>
            </w:r>
          </w:p>
        </w:tc>
        <w:tc>
          <w:tcPr>
            <w:tcW w:w="1580" w:type="dxa"/>
            <w:vAlign w:val="center"/>
          </w:tcPr>
          <w:p>
            <w:pPr>
              <w:spacing w:line="400" w:lineRule="exact"/>
              <w:jc w:val="center"/>
            </w:pPr>
            <w:r>
              <w:rPr>
                <w:rFonts w:hint="eastAsia"/>
              </w:rPr>
              <w:t>270</w:t>
            </w:r>
          </w:p>
        </w:tc>
        <w:tc>
          <w:tcPr>
            <w:tcW w:w="1588" w:type="dxa"/>
            <w:vAlign w:val="center"/>
          </w:tcPr>
          <w:p>
            <w:pPr>
              <w:spacing w:line="400" w:lineRule="exact"/>
              <w:jc w:val="center"/>
            </w:pPr>
            <w:r>
              <w:rPr>
                <w:rFonts w:hint="eastAsia"/>
              </w:rPr>
              <w:t>66.34</w:t>
            </w:r>
          </w:p>
        </w:tc>
        <w:tc>
          <w:tcPr>
            <w:tcW w:w="1637" w:type="dxa"/>
            <w:vAlign w:val="center"/>
          </w:tcPr>
          <w:p>
            <w:pPr>
              <w:spacing w:line="400" w:lineRule="exact"/>
              <w:jc w:val="center"/>
            </w:pPr>
            <w:r>
              <w:rPr>
                <w:rFonts w:hint="eastAsia"/>
              </w:rPr>
              <w:t>134</w:t>
            </w:r>
          </w:p>
        </w:tc>
        <w:tc>
          <w:tcPr>
            <w:tcW w:w="1531" w:type="dxa"/>
            <w:vAlign w:val="center"/>
          </w:tcPr>
          <w:p>
            <w:pPr>
              <w:spacing w:line="400" w:lineRule="exact"/>
              <w:jc w:val="center"/>
            </w:pPr>
            <w:r>
              <w:rPr>
                <w:rFonts w:hint="eastAsia"/>
              </w:rPr>
              <w:t>50.19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学士</w:t>
            </w:r>
          </w:p>
        </w:tc>
        <w:tc>
          <w:tcPr>
            <w:tcW w:w="1580" w:type="dxa"/>
            <w:vAlign w:val="center"/>
          </w:tcPr>
          <w:p>
            <w:pPr>
              <w:spacing w:line="400" w:lineRule="exact"/>
              <w:jc w:val="center"/>
            </w:pPr>
            <w:r>
              <w:rPr>
                <w:rFonts w:hint="eastAsia"/>
              </w:rPr>
              <w:t>65</w:t>
            </w:r>
          </w:p>
        </w:tc>
        <w:tc>
          <w:tcPr>
            <w:tcW w:w="1588" w:type="dxa"/>
            <w:vAlign w:val="center"/>
          </w:tcPr>
          <w:p>
            <w:pPr>
              <w:spacing w:line="400" w:lineRule="exact"/>
              <w:jc w:val="center"/>
            </w:pPr>
            <w:r>
              <w:rPr>
                <w:rFonts w:hint="eastAsia"/>
              </w:rPr>
              <w:t>15.97</w:t>
            </w:r>
          </w:p>
        </w:tc>
        <w:tc>
          <w:tcPr>
            <w:tcW w:w="1637" w:type="dxa"/>
            <w:vAlign w:val="center"/>
          </w:tcPr>
          <w:p>
            <w:pPr>
              <w:spacing w:line="400" w:lineRule="exact"/>
              <w:jc w:val="center"/>
            </w:pPr>
            <w:r>
              <w:rPr>
                <w:rFonts w:hint="eastAsia"/>
              </w:rPr>
              <w:t>84</w:t>
            </w:r>
          </w:p>
        </w:tc>
        <w:tc>
          <w:tcPr>
            <w:tcW w:w="1531" w:type="dxa"/>
            <w:vAlign w:val="center"/>
          </w:tcPr>
          <w:p>
            <w:pPr>
              <w:spacing w:line="400" w:lineRule="exact"/>
              <w:jc w:val="center"/>
              <w:rPr>
                <w:rFonts w:ascii="Calibri" w:hAnsi="Calibri"/>
              </w:rPr>
            </w:pPr>
            <w:r>
              <w:rPr>
                <w:rFonts w:hint="eastAsia"/>
              </w:rPr>
              <w:t>31.46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无学位</w:t>
            </w:r>
          </w:p>
        </w:tc>
        <w:tc>
          <w:tcPr>
            <w:tcW w:w="1580" w:type="dxa"/>
            <w:vAlign w:val="center"/>
          </w:tcPr>
          <w:p>
            <w:pPr>
              <w:spacing w:line="400" w:lineRule="exact"/>
              <w:jc w:val="center"/>
            </w:pPr>
            <w:r>
              <w:rPr>
                <w:rFonts w:hint="eastAsia"/>
              </w:rPr>
              <w:t>0</w:t>
            </w:r>
          </w:p>
        </w:tc>
        <w:tc>
          <w:tcPr>
            <w:tcW w:w="1588" w:type="dxa"/>
            <w:vAlign w:val="center"/>
          </w:tcPr>
          <w:p>
            <w:pPr>
              <w:spacing w:line="400" w:lineRule="exact"/>
              <w:jc w:val="center"/>
              <w:rPr>
                <w:rFonts w:ascii="Calibri" w:hAnsi="Calibri"/>
              </w:rPr>
            </w:pPr>
            <w:r>
              <w:rPr>
                <w:rFonts w:hint="eastAsia"/>
              </w:rPr>
              <w:t>0.00</w:t>
            </w:r>
          </w:p>
        </w:tc>
        <w:tc>
          <w:tcPr>
            <w:tcW w:w="1637" w:type="dxa"/>
            <w:vAlign w:val="center"/>
          </w:tcPr>
          <w:p>
            <w:pPr>
              <w:spacing w:line="400" w:lineRule="exact"/>
              <w:jc w:val="center"/>
            </w:pPr>
            <w:r>
              <w:rPr>
                <w:rFonts w:hint="eastAsia"/>
              </w:rPr>
              <w:t>0</w:t>
            </w:r>
          </w:p>
        </w:tc>
        <w:tc>
          <w:tcPr>
            <w:tcW w:w="1531" w:type="dxa"/>
            <w:vAlign w:val="center"/>
          </w:tcPr>
          <w:p>
            <w:pPr>
              <w:spacing w:line="400" w:lineRule="exact"/>
              <w:jc w:val="center"/>
            </w:pPr>
            <w:r>
              <w:rPr>
                <w:rFonts w:hint="eastAsi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restart"/>
            <w:vAlign w:val="center"/>
          </w:tcPr>
          <w:p>
            <w:pPr>
              <w:spacing w:line="400" w:lineRule="exact"/>
              <w:jc w:val="center"/>
            </w:pPr>
            <w:r>
              <w:rPr>
                <w:rFonts w:hint="eastAsia" w:ascii="宋体" w:hAnsi="宋体"/>
                <w:b/>
                <w:szCs w:val="21"/>
              </w:rPr>
              <w:t>年龄</w:t>
            </w:r>
          </w:p>
        </w:tc>
        <w:tc>
          <w:tcPr>
            <w:tcW w:w="1405" w:type="dxa"/>
            <w:vAlign w:val="center"/>
          </w:tcPr>
          <w:p>
            <w:pPr>
              <w:spacing w:line="400" w:lineRule="exact"/>
              <w:jc w:val="center"/>
            </w:pPr>
            <w:r>
              <w:rPr>
                <w:rFonts w:hint="eastAsia" w:ascii="宋体" w:hAnsi="宋体"/>
                <w:b/>
                <w:szCs w:val="21"/>
              </w:rPr>
              <w:t>35岁及以下</w:t>
            </w:r>
          </w:p>
        </w:tc>
        <w:tc>
          <w:tcPr>
            <w:tcW w:w="1580" w:type="dxa"/>
            <w:vAlign w:val="center"/>
          </w:tcPr>
          <w:p>
            <w:pPr>
              <w:spacing w:line="400" w:lineRule="exact"/>
              <w:jc w:val="center"/>
            </w:pPr>
            <w:r>
              <w:rPr>
                <w:rFonts w:hint="eastAsia"/>
              </w:rPr>
              <w:t>208</w:t>
            </w:r>
          </w:p>
        </w:tc>
        <w:tc>
          <w:tcPr>
            <w:tcW w:w="1588" w:type="dxa"/>
            <w:vAlign w:val="center"/>
          </w:tcPr>
          <w:p>
            <w:pPr>
              <w:spacing w:line="400" w:lineRule="exact"/>
              <w:jc w:val="center"/>
            </w:pPr>
            <w:r>
              <w:rPr>
                <w:rFonts w:hint="eastAsia"/>
              </w:rPr>
              <w:t>51.11</w:t>
            </w:r>
          </w:p>
        </w:tc>
        <w:tc>
          <w:tcPr>
            <w:tcW w:w="1637" w:type="dxa"/>
            <w:vAlign w:val="center"/>
          </w:tcPr>
          <w:p>
            <w:pPr>
              <w:spacing w:line="400" w:lineRule="exact"/>
              <w:jc w:val="center"/>
            </w:pPr>
            <w:r>
              <w:rPr>
                <w:rFonts w:hint="eastAsia"/>
              </w:rPr>
              <w:t>104</w:t>
            </w:r>
          </w:p>
        </w:tc>
        <w:tc>
          <w:tcPr>
            <w:tcW w:w="1531" w:type="dxa"/>
            <w:vAlign w:val="center"/>
          </w:tcPr>
          <w:p>
            <w:pPr>
              <w:spacing w:line="400" w:lineRule="exact"/>
              <w:jc w:val="center"/>
            </w:pPr>
            <w:r>
              <w:rPr>
                <w:rFonts w:hint="eastAsia"/>
              </w:rPr>
              <w:t>38.95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36-45岁</w:t>
            </w:r>
          </w:p>
        </w:tc>
        <w:tc>
          <w:tcPr>
            <w:tcW w:w="1580" w:type="dxa"/>
            <w:vAlign w:val="center"/>
          </w:tcPr>
          <w:p>
            <w:pPr>
              <w:spacing w:line="400" w:lineRule="exact"/>
              <w:jc w:val="center"/>
            </w:pPr>
            <w:r>
              <w:rPr>
                <w:rFonts w:hint="eastAsia"/>
              </w:rPr>
              <w:t>89</w:t>
            </w:r>
          </w:p>
        </w:tc>
        <w:tc>
          <w:tcPr>
            <w:tcW w:w="1588" w:type="dxa"/>
            <w:vAlign w:val="center"/>
          </w:tcPr>
          <w:p>
            <w:pPr>
              <w:spacing w:line="400" w:lineRule="exact"/>
              <w:jc w:val="center"/>
            </w:pPr>
            <w:r>
              <w:rPr>
                <w:rFonts w:hint="eastAsia"/>
              </w:rPr>
              <w:t>21.87</w:t>
            </w:r>
          </w:p>
        </w:tc>
        <w:tc>
          <w:tcPr>
            <w:tcW w:w="1637" w:type="dxa"/>
            <w:vAlign w:val="center"/>
          </w:tcPr>
          <w:p>
            <w:pPr>
              <w:spacing w:line="400" w:lineRule="exact"/>
              <w:jc w:val="center"/>
            </w:pPr>
            <w:r>
              <w:rPr>
                <w:rFonts w:hint="eastAsia"/>
              </w:rPr>
              <w:t>111</w:t>
            </w:r>
          </w:p>
        </w:tc>
        <w:tc>
          <w:tcPr>
            <w:tcW w:w="1531" w:type="dxa"/>
            <w:vAlign w:val="center"/>
          </w:tcPr>
          <w:p>
            <w:pPr>
              <w:spacing w:line="400" w:lineRule="exact"/>
              <w:jc w:val="center"/>
            </w:pPr>
            <w:r>
              <w:rPr>
                <w:rFonts w:hint="eastAsia"/>
              </w:rPr>
              <w:t>41.57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46-55岁</w:t>
            </w:r>
          </w:p>
        </w:tc>
        <w:tc>
          <w:tcPr>
            <w:tcW w:w="1580" w:type="dxa"/>
            <w:vAlign w:val="center"/>
          </w:tcPr>
          <w:p>
            <w:pPr>
              <w:spacing w:line="400" w:lineRule="exact"/>
              <w:jc w:val="center"/>
            </w:pPr>
            <w:r>
              <w:rPr>
                <w:rFonts w:hint="eastAsia"/>
              </w:rPr>
              <w:t>44</w:t>
            </w:r>
          </w:p>
        </w:tc>
        <w:tc>
          <w:tcPr>
            <w:tcW w:w="1588" w:type="dxa"/>
            <w:vAlign w:val="center"/>
          </w:tcPr>
          <w:p>
            <w:pPr>
              <w:spacing w:line="400" w:lineRule="exact"/>
              <w:jc w:val="center"/>
            </w:pPr>
            <w:r>
              <w:rPr>
                <w:rFonts w:hint="eastAsia"/>
              </w:rPr>
              <w:t>10.81</w:t>
            </w:r>
          </w:p>
        </w:tc>
        <w:tc>
          <w:tcPr>
            <w:tcW w:w="1637" w:type="dxa"/>
            <w:vAlign w:val="center"/>
          </w:tcPr>
          <w:p>
            <w:pPr>
              <w:spacing w:line="400" w:lineRule="exact"/>
              <w:jc w:val="center"/>
            </w:pPr>
            <w:r>
              <w:rPr>
                <w:rFonts w:hint="eastAsia"/>
              </w:rPr>
              <w:t>35</w:t>
            </w:r>
          </w:p>
        </w:tc>
        <w:tc>
          <w:tcPr>
            <w:tcW w:w="1531" w:type="dxa"/>
            <w:vAlign w:val="center"/>
          </w:tcPr>
          <w:p>
            <w:pPr>
              <w:spacing w:line="400" w:lineRule="exact"/>
              <w:jc w:val="center"/>
            </w:pPr>
            <w:r>
              <w:rPr>
                <w:rFonts w:hint="eastAsia"/>
              </w:rPr>
              <w:t>13.11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781" w:type="dxa"/>
            <w:vMerge w:val="continue"/>
            <w:vAlign w:val="center"/>
          </w:tcPr>
          <w:p>
            <w:pPr>
              <w:spacing w:line="400" w:lineRule="exact"/>
              <w:jc w:val="center"/>
            </w:pPr>
          </w:p>
        </w:tc>
        <w:tc>
          <w:tcPr>
            <w:tcW w:w="1405" w:type="dxa"/>
            <w:vAlign w:val="center"/>
          </w:tcPr>
          <w:p>
            <w:pPr>
              <w:spacing w:line="400" w:lineRule="exact"/>
              <w:jc w:val="center"/>
            </w:pPr>
            <w:r>
              <w:rPr>
                <w:rFonts w:hint="eastAsia" w:ascii="宋体" w:hAnsi="宋体"/>
                <w:b/>
                <w:szCs w:val="21"/>
              </w:rPr>
              <w:t>56岁及以上</w:t>
            </w:r>
          </w:p>
        </w:tc>
        <w:tc>
          <w:tcPr>
            <w:tcW w:w="1580" w:type="dxa"/>
            <w:vAlign w:val="center"/>
          </w:tcPr>
          <w:p>
            <w:pPr>
              <w:spacing w:line="400" w:lineRule="exact"/>
              <w:jc w:val="center"/>
            </w:pPr>
            <w:r>
              <w:rPr>
                <w:rFonts w:hint="eastAsia"/>
              </w:rPr>
              <w:t>66</w:t>
            </w:r>
          </w:p>
        </w:tc>
        <w:tc>
          <w:tcPr>
            <w:tcW w:w="1588" w:type="dxa"/>
            <w:vAlign w:val="center"/>
          </w:tcPr>
          <w:p>
            <w:pPr>
              <w:spacing w:line="400" w:lineRule="exact"/>
              <w:jc w:val="center"/>
            </w:pPr>
            <w:r>
              <w:rPr>
                <w:rFonts w:hint="eastAsia"/>
              </w:rPr>
              <w:t>16.22</w:t>
            </w:r>
          </w:p>
        </w:tc>
        <w:tc>
          <w:tcPr>
            <w:tcW w:w="1637" w:type="dxa"/>
            <w:vAlign w:val="center"/>
          </w:tcPr>
          <w:p>
            <w:pPr>
              <w:spacing w:line="400" w:lineRule="exact"/>
              <w:jc w:val="center"/>
            </w:pPr>
            <w:r>
              <w:rPr>
                <w:rFonts w:hint="eastAsia"/>
              </w:rPr>
              <w:t>17</w:t>
            </w:r>
          </w:p>
        </w:tc>
        <w:tc>
          <w:tcPr>
            <w:tcW w:w="1531" w:type="dxa"/>
            <w:vAlign w:val="center"/>
          </w:tcPr>
          <w:p>
            <w:pPr>
              <w:spacing w:line="400" w:lineRule="exact"/>
              <w:jc w:val="center"/>
            </w:pPr>
            <w:r>
              <w:rPr>
                <w:rFonts w:hint="eastAsia"/>
              </w:rPr>
              <w:t>6.37</w:t>
            </w:r>
          </w:p>
        </w:tc>
      </w:tr>
    </w:tbl>
    <w:p>
      <w:pPr>
        <w:pStyle w:val="3"/>
        <w:spacing w:before="0" w:after="0" w:line="240" w:lineRule="auto"/>
        <w:jc w:val="left"/>
        <w:rPr>
          <w:rFonts w:ascii="Times New Roman" w:hAnsi="Times New Roman" w:eastAsia="黑体"/>
          <w:sz w:val="28"/>
          <w:szCs w:val="28"/>
        </w:rPr>
      </w:pPr>
      <w:bookmarkStart w:id="55" w:name="_Toc2410"/>
      <w:r>
        <w:rPr>
          <w:rFonts w:ascii="Times New Roman" w:hAnsi="Times New Roman" w:eastAsia="黑体"/>
          <w:sz w:val="28"/>
          <w:szCs w:val="28"/>
        </w:rPr>
        <w:t>2.2本科主讲教师情况</w:t>
      </w:r>
      <w:bookmarkEnd w:id="49"/>
      <w:bookmarkEnd w:id="50"/>
      <w:bookmarkEnd w:id="51"/>
      <w:bookmarkEnd w:id="52"/>
      <w:bookmarkEnd w:id="53"/>
      <w:bookmarkEnd w:id="54"/>
      <w:bookmarkEnd w:id="55"/>
    </w:p>
    <w:p>
      <w:pPr>
        <w:rPr>
          <w:rFonts w:eastAsia="黑体"/>
          <w:b/>
          <w:bCs/>
          <w:sz w:val="24"/>
          <w:szCs w:val="28"/>
        </w:rPr>
      </w:pPr>
      <w:r>
        <w:rPr>
          <w:rFonts w:eastAsia="黑体"/>
          <w:b/>
          <w:bCs/>
          <w:sz w:val="24"/>
          <w:szCs w:val="28"/>
        </w:rPr>
        <w:t>2.2.1教授承担本科教学情况</w:t>
      </w:r>
    </w:p>
    <w:p>
      <w:pPr>
        <w:spacing w:line="400" w:lineRule="exact"/>
        <w:ind w:firstLine="480" w:firstLineChars="200"/>
        <w:rPr>
          <w:kern w:val="0"/>
          <w:sz w:val="24"/>
          <w:szCs w:val="24"/>
          <w:highlight w:val="yellow"/>
          <w:shd w:val="clear" w:color="auto" w:fill="FFFFFF"/>
        </w:rPr>
      </w:pPr>
      <w:r>
        <w:rPr>
          <w:kern w:val="0"/>
          <w:sz w:val="24"/>
          <w:szCs w:val="24"/>
          <w:shd w:val="clear" w:color="auto" w:fill="FFFFFF"/>
        </w:rPr>
        <w:t>近年来，我</w:t>
      </w:r>
      <w:r>
        <w:rPr>
          <w:rFonts w:hint="eastAsia"/>
          <w:kern w:val="0"/>
          <w:sz w:val="24"/>
          <w:szCs w:val="24"/>
          <w:shd w:val="clear" w:color="auto" w:fill="FFFFFF"/>
        </w:rPr>
        <w:t>院</w:t>
      </w:r>
      <w:r>
        <w:rPr>
          <w:kern w:val="0"/>
          <w:sz w:val="24"/>
          <w:szCs w:val="24"/>
          <w:shd w:val="clear" w:color="auto" w:fill="FFFFFF"/>
        </w:rPr>
        <w:t>推进教授为本科生授课工作。各教学单位需在安排教学任务时，优先保证教授、副教授的本科教学任务。鼓励教授、副教授承担新生专业导论课、学科前沿类课程、开放性创新实验课程及大学生职业发展与就业指导课程；鼓励教授、副教授组成教学团队，开发各类有益于学生成长成才的创新类课程，把最新科研成果融入本科课堂教学，将科研资源转化为本科教学资源，并在教学中积极引进海内外优质教学资源。</w:t>
      </w:r>
    </w:p>
    <w:p>
      <w:pPr>
        <w:rPr>
          <w:rFonts w:eastAsia="黑体"/>
          <w:b/>
          <w:bCs/>
          <w:sz w:val="24"/>
          <w:szCs w:val="28"/>
        </w:rPr>
      </w:pPr>
      <w:r>
        <w:rPr>
          <w:rFonts w:eastAsia="黑体"/>
          <w:b/>
          <w:bCs/>
          <w:sz w:val="24"/>
          <w:szCs w:val="28"/>
        </w:rPr>
        <w:t>2.2.2青年教师</w:t>
      </w:r>
      <w:r>
        <w:rPr>
          <w:rFonts w:hint="eastAsia" w:eastAsia="黑体"/>
          <w:b/>
          <w:bCs/>
          <w:sz w:val="24"/>
          <w:szCs w:val="28"/>
        </w:rPr>
        <w:t>导师制</w:t>
      </w:r>
      <w:r>
        <w:rPr>
          <w:rFonts w:eastAsia="黑体"/>
          <w:b/>
          <w:bCs/>
          <w:sz w:val="24"/>
          <w:szCs w:val="28"/>
        </w:rPr>
        <w:t>培养情况</w:t>
      </w:r>
      <w:bookmarkStart w:id="56" w:name="_Toc14898"/>
      <w:bookmarkStart w:id="57" w:name="_Toc1311"/>
      <w:bookmarkStart w:id="58" w:name="_Toc4415"/>
      <w:bookmarkStart w:id="59" w:name="_Toc14014"/>
      <w:bookmarkStart w:id="60" w:name="_Toc19889"/>
      <w:bookmarkStart w:id="61" w:name="_Toc27732518"/>
    </w:p>
    <w:bookmarkEnd w:id="56"/>
    <w:bookmarkEnd w:id="57"/>
    <w:bookmarkEnd w:id="58"/>
    <w:p>
      <w:pPr>
        <w:spacing w:line="400" w:lineRule="exact"/>
        <w:ind w:firstLine="480" w:firstLineChars="200"/>
        <w:rPr>
          <w:kern w:val="0"/>
          <w:sz w:val="24"/>
          <w:szCs w:val="24"/>
          <w:shd w:val="clear" w:color="auto" w:fill="FFFFFF"/>
        </w:rPr>
      </w:pPr>
      <w:bookmarkStart w:id="62" w:name="_Toc17338"/>
      <w:bookmarkStart w:id="63" w:name="_Toc19314"/>
      <w:bookmarkStart w:id="64" w:name="_Toc16273"/>
      <w:r>
        <w:rPr>
          <w:rFonts w:hint="eastAsia"/>
          <w:kern w:val="0"/>
          <w:sz w:val="24"/>
          <w:szCs w:val="24"/>
          <w:shd w:val="clear" w:color="auto" w:fill="FFFFFF"/>
        </w:rPr>
        <w:t>学院</w:t>
      </w:r>
      <w:r>
        <w:rPr>
          <w:kern w:val="0"/>
          <w:sz w:val="24"/>
          <w:szCs w:val="24"/>
          <w:shd w:val="clear" w:color="auto" w:fill="FFFFFF"/>
        </w:rPr>
        <w:t>实施青年教师</w:t>
      </w:r>
      <w:r>
        <w:rPr>
          <w:rFonts w:hint="eastAsia"/>
          <w:kern w:val="0"/>
          <w:sz w:val="24"/>
          <w:szCs w:val="24"/>
          <w:shd w:val="clear" w:color="auto" w:fill="FFFFFF"/>
        </w:rPr>
        <w:t>“</w:t>
      </w:r>
      <w:r>
        <w:rPr>
          <w:kern w:val="0"/>
          <w:sz w:val="24"/>
          <w:szCs w:val="24"/>
          <w:shd w:val="clear" w:color="auto" w:fill="FFFFFF"/>
        </w:rPr>
        <w:t>五大培养</w:t>
      </w:r>
      <w:r>
        <w:rPr>
          <w:rFonts w:hint="eastAsia"/>
          <w:kern w:val="0"/>
          <w:sz w:val="24"/>
          <w:szCs w:val="24"/>
          <w:shd w:val="clear" w:color="auto" w:fill="FFFFFF"/>
        </w:rPr>
        <w:t>”</w:t>
      </w:r>
      <w:r>
        <w:rPr>
          <w:kern w:val="0"/>
          <w:sz w:val="24"/>
          <w:szCs w:val="24"/>
          <w:shd w:val="clear" w:color="auto" w:fill="FFFFFF"/>
        </w:rPr>
        <w:t>计划，完善</w:t>
      </w:r>
      <w:r>
        <w:rPr>
          <w:rFonts w:hint="eastAsia"/>
          <w:kern w:val="0"/>
          <w:sz w:val="24"/>
          <w:szCs w:val="24"/>
          <w:shd w:val="clear" w:color="auto" w:fill="FFFFFF"/>
        </w:rPr>
        <w:t>院系</w:t>
      </w:r>
      <w:r>
        <w:rPr>
          <w:kern w:val="0"/>
          <w:sz w:val="24"/>
          <w:szCs w:val="24"/>
          <w:shd w:val="clear" w:color="auto" w:fill="FFFFFF"/>
        </w:rPr>
        <w:t>两级培训管理体制</w:t>
      </w:r>
      <w:r>
        <w:rPr>
          <w:rFonts w:hint="eastAsia"/>
          <w:kern w:val="0"/>
          <w:sz w:val="24"/>
          <w:szCs w:val="24"/>
          <w:shd w:val="clear" w:color="auto" w:fill="FFFFFF"/>
        </w:rPr>
        <w:t>和</w:t>
      </w:r>
      <w:r>
        <w:rPr>
          <w:kern w:val="0"/>
          <w:sz w:val="24"/>
          <w:szCs w:val="24"/>
          <w:shd w:val="clear" w:color="auto" w:fill="FFFFFF"/>
        </w:rPr>
        <w:t>培养机制，充分发挥教师教学能力发展中心作用，重点提升青年教师的核心竞争力。实施“青年教师导师制”</w:t>
      </w:r>
      <w:r>
        <w:rPr>
          <w:rFonts w:hint="eastAsia"/>
          <w:kern w:val="0"/>
          <w:sz w:val="24"/>
          <w:szCs w:val="24"/>
          <w:shd w:val="clear" w:color="auto" w:fill="FFFFFF"/>
        </w:rPr>
        <w:t>，</w:t>
      </w:r>
      <w:r>
        <w:rPr>
          <w:kern w:val="0"/>
          <w:sz w:val="24"/>
          <w:szCs w:val="24"/>
          <w:shd w:val="clear" w:color="auto" w:fill="FFFFFF"/>
        </w:rPr>
        <w:t>充分发挥优秀教师、主任医师的传、帮、带作用</w:t>
      </w:r>
      <w:r>
        <w:rPr>
          <w:rFonts w:hint="eastAsia"/>
          <w:kern w:val="0"/>
          <w:sz w:val="24"/>
          <w:szCs w:val="24"/>
          <w:shd w:val="clear" w:color="auto" w:fill="FFFFFF"/>
        </w:rPr>
        <w:t>，</w:t>
      </w:r>
      <w:r>
        <w:rPr>
          <w:kern w:val="0"/>
          <w:sz w:val="24"/>
          <w:szCs w:val="24"/>
          <w:shd w:val="clear" w:color="auto" w:fill="FFFFFF"/>
        </w:rPr>
        <w:t>帮助青年教师顺利完成角色转变，根据自身的特点和岗位要求尽快融入相应的教学、科研团队，提高教学技能和业务水平</w:t>
      </w:r>
      <w:r>
        <w:rPr>
          <w:rFonts w:hint="eastAsia"/>
          <w:kern w:val="0"/>
          <w:sz w:val="24"/>
          <w:szCs w:val="24"/>
          <w:shd w:val="clear" w:color="auto" w:fill="FFFFFF"/>
        </w:rPr>
        <w:t>；</w:t>
      </w:r>
      <w:r>
        <w:rPr>
          <w:kern w:val="0"/>
          <w:sz w:val="24"/>
          <w:szCs w:val="24"/>
          <w:shd w:val="clear" w:color="auto" w:fill="FFFFFF"/>
        </w:rPr>
        <w:t>实施“青年骨干教师培</w:t>
      </w:r>
      <w:r>
        <w:rPr>
          <w:rFonts w:hint="eastAsia"/>
          <w:kern w:val="0"/>
          <w:sz w:val="24"/>
          <w:szCs w:val="24"/>
          <w:shd w:val="clear" w:color="auto" w:fill="FFFFFF"/>
        </w:rPr>
        <w:t>育</w:t>
      </w:r>
      <w:r>
        <w:rPr>
          <w:kern w:val="0"/>
          <w:sz w:val="24"/>
          <w:szCs w:val="24"/>
          <w:shd w:val="clear" w:color="auto" w:fill="FFFFFF"/>
        </w:rPr>
        <w:t>计划”</w:t>
      </w:r>
      <w:r>
        <w:rPr>
          <w:rFonts w:hint="eastAsia"/>
          <w:kern w:val="0"/>
          <w:sz w:val="24"/>
          <w:szCs w:val="24"/>
          <w:shd w:val="clear" w:color="auto" w:fill="FFFFFF"/>
        </w:rPr>
        <w:t>，</w:t>
      </w:r>
      <w:r>
        <w:rPr>
          <w:kern w:val="0"/>
          <w:sz w:val="24"/>
          <w:szCs w:val="24"/>
          <w:shd w:val="clear" w:color="auto" w:fill="FFFFFF"/>
        </w:rPr>
        <w:t>设立专项津贴，加大培养和考核力度，促进青年教师综合素质和业务水平</w:t>
      </w:r>
      <w:r>
        <w:rPr>
          <w:rFonts w:hint="eastAsia"/>
          <w:kern w:val="0"/>
          <w:sz w:val="24"/>
          <w:szCs w:val="24"/>
          <w:shd w:val="clear" w:color="auto" w:fill="FFFFFF"/>
        </w:rPr>
        <w:t>；</w:t>
      </w:r>
      <w:r>
        <w:rPr>
          <w:kern w:val="0"/>
          <w:sz w:val="24"/>
          <w:szCs w:val="24"/>
          <w:shd w:val="clear" w:color="auto" w:fill="FFFFFF"/>
        </w:rPr>
        <w:t>实施“双能师资培养计划”</w:t>
      </w:r>
      <w:r>
        <w:rPr>
          <w:rFonts w:hint="eastAsia"/>
          <w:kern w:val="0"/>
          <w:sz w:val="24"/>
          <w:szCs w:val="24"/>
          <w:shd w:val="clear" w:color="auto" w:fill="FFFFFF"/>
        </w:rPr>
        <w:t>，</w:t>
      </w:r>
      <w:r>
        <w:rPr>
          <w:kern w:val="0"/>
          <w:sz w:val="24"/>
          <w:szCs w:val="24"/>
          <w:shd w:val="clear" w:color="auto" w:fill="FFFFFF"/>
        </w:rPr>
        <w:t>依据“双能型”教师认定标准，开展“双能型”教师认定工作，制定学院双能师资培养工程实施方案，多措并举，逐步建立一支适应学院发展的“双能型”师资团队</w:t>
      </w:r>
      <w:r>
        <w:rPr>
          <w:rFonts w:hint="eastAsia"/>
          <w:kern w:val="0"/>
          <w:sz w:val="24"/>
          <w:szCs w:val="24"/>
          <w:shd w:val="clear" w:color="auto" w:fill="FFFFFF"/>
        </w:rPr>
        <w:t>；</w:t>
      </w:r>
      <w:r>
        <w:rPr>
          <w:kern w:val="0"/>
          <w:sz w:val="24"/>
          <w:szCs w:val="24"/>
          <w:shd w:val="clear" w:color="auto" w:fill="FFFFFF"/>
        </w:rPr>
        <w:t>实施“青年教师博士培养计划”</w:t>
      </w:r>
      <w:r>
        <w:rPr>
          <w:rFonts w:hint="eastAsia"/>
          <w:kern w:val="0"/>
          <w:sz w:val="24"/>
          <w:szCs w:val="24"/>
          <w:shd w:val="clear" w:color="auto" w:fill="FFFFFF"/>
        </w:rPr>
        <w:t>，</w:t>
      </w:r>
      <w:r>
        <w:rPr>
          <w:kern w:val="0"/>
          <w:sz w:val="24"/>
          <w:szCs w:val="24"/>
          <w:shd w:val="clear" w:color="auto" w:fill="FFFFFF"/>
        </w:rPr>
        <w:t>坚持“按需培养、保证重点、学用一致、注重效益”的原则，制定政策，鼓励优秀青年教师在职读博</w:t>
      </w:r>
      <w:r>
        <w:rPr>
          <w:rFonts w:hint="eastAsia"/>
          <w:kern w:val="0"/>
          <w:sz w:val="24"/>
          <w:szCs w:val="24"/>
          <w:shd w:val="clear" w:color="auto" w:fill="FFFFFF"/>
        </w:rPr>
        <w:t>；</w:t>
      </w:r>
      <w:r>
        <w:rPr>
          <w:kern w:val="0"/>
          <w:sz w:val="24"/>
          <w:szCs w:val="24"/>
          <w:shd w:val="clear" w:color="auto" w:fill="FFFFFF"/>
        </w:rPr>
        <w:t>实施“青年教师国内外访学计划”</w:t>
      </w:r>
      <w:r>
        <w:rPr>
          <w:rFonts w:hint="eastAsia"/>
          <w:kern w:val="0"/>
          <w:sz w:val="24"/>
          <w:szCs w:val="24"/>
          <w:shd w:val="clear" w:color="auto" w:fill="FFFFFF"/>
        </w:rPr>
        <w:t>，</w:t>
      </w:r>
      <w:r>
        <w:rPr>
          <w:kern w:val="0"/>
          <w:sz w:val="24"/>
          <w:szCs w:val="24"/>
          <w:shd w:val="clear" w:color="auto" w:fill="FFFFFF"/>
        </w:rPr>
        <w:t>制定访学制度，实施医院进修项目，选派访问学者前往国内外高校交流访学。</w:t>
      </w:r>
    </w:p>
    <w:p>
      <w:pPr>
        <w:spacing w:line="400" w:lineRule="exact"/>
        <w:ind w:firstLine="480" w:firstLineChars="200"/>
        <w:rPr>
          <w:kern w:val="0"/>
          <w:sz w:val="24"/>
          <w:szCs w:val="24"/>
          <w:shd w:val="clear" w:color="auto" w:fill="FFFFFF"/>
        </w:rPr>
      </w:pPr>
      <w:r>
        <w:rPr>
          <w:kern w:val="0"/>
          <w:sz w:val="24"/>
          <w:szCs w:val="24"/>
          <w:shd w:val="clear" w:color="auto" w:fill="FFFFFF"/>
        </w:rPr>
        <w:t>本学年我院青年教师培养对象77名，人均培训时间218学时/年。</w:t>
      </w:r>
      <w:r>
        <w:rPr>
          <w:rFonts w:hint="eastAsia"/>
          <w:kern w:val="0"/>
          <w:sz w:val="24"/>
          <w:szCs w:val="24"/>
          <w:shd w:val="clear" w:color="auto" w:fill="FFFFFF"/>
        </w:rPr>
        <w:t>学院</w:t>
      </w:r>
      <w:r>
        <w:rPr>
          <w:kern w:val="0"/>
          <w:sz w:val="24"/>
          <w:szCs w:val="24"/>
          <w:shd w:val="clear" w:color="auto" w:fill="FFFFFF"/>
        </w:rPr>
        <w:t>对77位培养对象进行了期满考核，其中15人优秀，62人合格，合格率达100%。</w:t>
      </w:r>
    </w:p>
    <w:p>
      <w:pPr>
        <w:pStyle w:val="3"/>
        <w:spacing w:before="0" w:after="0" w:line="400" w:lineRule="exact"/>
        <w:jc w:val="left"/>
        <w:rPr>
          <w:rFonts w:ascii="Times New Roman" w:hAnsi="Times New Roman" w:eastAsia="黑体"/>
          <w:sz w:val="28"/>
          <w:szCs w:val="28"/>
        </w:rPr>
      </w:pPr>
      <w:bookmarkStart w:id="65" w:name="_Toc68"/>
      <w:r>
        <w:rPr>
          <w:rFonts w:ascii="Times New Roman" w:hAnsi="Times New Roman" w:eastAsia="黑体"/>
          <w:sz w:val="28"/>
          <w:szCs w:val="28"/>
        </w:rPr>
        <w:t>2.3教学经费投入情况</w:t>
      </w:r>
      <w:bookmarkEnd w:id="59"/>
      <w:bookmarkEnd w:id="60"/>
      <w:bookmarkEnd w:id="61"/>
      <w:bookmarkEnd w:id="62"/>
      <w:bookmarkEnd w:id="63"/>
      <w:bookmarkEnd w:id="64"/>
      <w:bookmarkEnd w:id="65"/>
    </w:p>
    <w:p>
      <w:pPr>
        <w:spacing w:line="400" w:lineRule="exact"/>
        <w:ind w:firstLine="480" w:firstLineChars="200"/>
        <w:jc w:val="left"/>
        <w:rPr>
          <w:rFonts w:ascii="宋体" w:hAnsi="宋体"/>
          <w:sz w:val="24"/>
          <w:szCs w:val="24"/>
        </w:rPr>
      </w:pPr>
      <w:r>
        <w:rPr>
          <w:kern w:val="0"/>
          <w:sz w:val="24"/>
          <w:szCs w:val="24"/>
          <w:shd w:val="clear" w:color="auto" w:fill="FFFFFF"/>
        </w:rPr>
        <w:t>学校坚持教学投入优先、教学建设先行。</w:t>
      </w:r>
      <w:r>
        <w:rPr>
          <w:rFonts w:hint="eastAsia" w:ascii="宋体" w:hAnsi="宋体"/>
          <w:sz w:val="24"/>
          <w:szCs w:val="24"/>
        </w:rPr>
        <w:t>2022年教学日常运行支出为1022.7万元，本科实验经费支出为132.94万元，本科实习经费支出为26.7万元。生均教学日常运行支出为1399.04元，生均本科实验经费为181.86元，生均实习经费为36.53元。部分已发生的实际费用，经费尚未在2022年度支付。</w:t>
      </w:r>
    </w:p>
    <w:p>
      <w:pPr>
        <w:pStyle w:val="3"/>
        <w:spacing w:before="0" w:after="0" w:line="240" w:lineRule="auto"/>
        <w:jc w:val="left"/>
        <w:rPr>
          <w:rFonts w:ascii="Times New Roman" w:hAnsi="Times New Roman" w:eastAsia="黑体"/>
          <w:sz w:val="28"/>
          <w:szCs w:val="28"/>
        </w:rPr>
      </w:pPr>
      <w:bookmarkStart w:id="66" w:name="_Toc27732519"/>
      <w:bookmarkStart w:id="67" w:name="_Toc5742"/>
      <w:bookmarkStart w:id="68" w:name="_Toc12182"/>
      <w:bookmarkStart w:id="69" w:name="_Toc29720"/>
      <w:bookmarkStart w:id="70" w:name="_Toc13890"/>
      <w:bookmarkStart w:id="71" w:name="_Toc603"/>
      <w:bookmarkStart w:id="72" w:name="_Toc26442"/>
      <w:r>
        <w:rPr>
          <w:rFonts w:ascii="Times New Roman" w:hAnsi="Times New Roman" w:eastAsia="黑体"/>
          <w:sz w:val="28"/>
          <w:szCs w:val="28"/>
        </w:rPr>
        <w:t>2.4教学设施应用情况</w:t>
      </w:r>
      <w:bookmarkEnd w:id="66"/>
      <w:bookmarkEnd w:id="67"/>
      <w:bookmarkEnd w:id="68"/>
      <w:bookmarkEnd w:id="69"/>
      <w:bookmarkEnd w:id="70"/>
      <w:bookmarkEnd w:id="71"/>
      <w:bookmarkEnd w:id="72"/>
    </w:p>
    <w:p>
      <w:pPr>
        <w:rPr>
          <w:rFonts w:eastAsia="黑体"/>
          <w:b/>
          <w:bCs/>
          <w:sz w:val="24"/>
          <w:szCs w:val="28"/>
        </w:rPr>
      </w:pPr>
      <w:r>
        <w:rPr>
          <w:rFonts w:eastAsia="黑体"/>
          <w:b/>
          <w:bCs/>
          <w:sz w:val="24"/>
          <w:szCs w:val="28"/>
        </w:rPr>
        <w:t>2.4.1教学用房</w:t>
      </w:r>
    </w:p>
    <w:p>
      <w:pPr>
        <w:spacing w:line="400" w:lineRule="exact"/>
        <w:ind w:firstLine="480" w:firstLineChars="200"/>
        <w:rPr>
          <w:kern w:val="0"/>
          <w:sz w:val="24"/>
          <w:szCs w:val="24"/>
          <w:shd w:val="clear" w:color="auto" w:fill="FFFFFF"/>
        </w:rPr>
      </w:pPr>
      <w:r>
        <w:rPr>
          <w:rFonts w:ascii="宋体" w:hAnsi="宋体" w:cs="宋体"/>
          <w:sz w:val="24"/>
          <w:szCs w:val="24"/>
        </w:rPr>
        <w:t>截止202</w:t>
      </w:r>
      <w:r>
        <w:rPr>
          <w:rFonts w:hint="eastAsia" w:ascii="宋体" w:hAnsi="宋体" w:cs="宋体"/>
          <w:sz w:val="24"/>
          <w:szCs w:val="24"/>
        </w:rPr>
        <w:t>3</w:t>
      </w:r>
      <w:r>
        <w:rPr>
          <w:rFonts w:ascii="宋体" w:hAnsi="宋体" w:cs="宋体"/>
          <w:sz w:val="24"/>
          <w:szCs w:val="24"/>
        </w:rPr>
        <w:t>年9月，</w:t>
      </w:r>
      <w:r>
        <w:rPr>
          <w:rFonts w:hint="eastAsia" w:ascii="宋体" w:hAnsi="宋体"/>
          <w:sz w:val="24"/>
          <w:szCs w:val="24"/>
        </w:rPr>
        <w:t>学校总占地面积34.31万m</w:t>
      </w:r>
      <w:r>
        <w:rPr>
          <w:rFonts w:hint="eastAsia" w:ascii="宋体" w:hAnsi="宋体"/>
          <w:sz w:val="24"/>
          <w:szCs w:val="24"/>
          <w:vertAlign w:val="superscript"/>
        </w:rPr>
        <w:t>2</w:t>
      </w:r>
      <w:r>
        <w:rPr>
          <w:rFonts w:hint="eastAsia" w:ascii="宋体" w:hAnsi="宋体"/>
          <w:sz w:val="24"/>
          <w:szCs w:val="24"/>
        </w:rPr>
        <w:t>，产权占地面积为34.31万m</w:t>
      </w:r>
      <w:r>
        <w:rPr>
          <w:rFonts w:hint="eastAsia" w:ascii="宋体" w:hAnsi="宋体"/>
          <w:sz w:val="24"/>
          <w:szCs w:val="24"/>
          <w:vertAlign w:val="superscript"/>
        </w:rPr>
        <w:t>2</w:t>
      </w:r>
      <w:r>
        <w:rPr>
          <w:rFonts w:hint="eastAsia" w:ascii="宋体" w:hAnsi="宋体"/>
          <w:sz w:val="24"/>
          <w:szCs w:val="24"/>
        </w:rPr>
        <w:t>，学校总建筑面积为23.96万m</w:t>
      </w:r>
      <w:r>
        <w:rPr>
          <w:rFonts w:hint="eastAsia" w:ascii="宋体" w:hAnsi="宋体"/>
          <w:sz w:val="24"/>
          <w:szCs w:val="24"/>
          <w:vertAlign w:val="superscript"/>
        </w:rPr>
        <w:t>2</w:t>
      </w:r>
      <w:r>
        <w:rPr>
          <w:rFonts w:hint="eastAsia" w:ascii="宋体" w:hAnsi="宋体"/>
          <w:sz w:val="24"/>
          <w:szCs w:val="24"/>
        </w:rPr>
        <w:t>。学校现有教学行政用房面积（教学科研及辅助用房+行政办公用房）共149405.05m</w:t>
      </w:r>
      <w:r>
        <w:rPr>
          <w:rFonts w:hint="eastAsia" w:ascii="宋体" w:hAnsi="宋体"/>
          <w:sz w:val="24"/>
          <w:szCs w:val="24"/>
          <w:vertAlign w:val="superscript"/>
        </w:rPr>
        <w:t>2</w:t>
      </w:r>
      <w:r>
        <w:rPr>
          <w:rFonts w:hint="eastAsia" w:ascii="宋体" w:hAnsi="宋体"/>
          <w:sz w:val="24"/>
          <w:szCs w:val="24"/>
        </w:rPr>
        <w:t>，其中教室面积26746.75m</w:t>
      </w:r>
      <w:r>
        <w:rPr>
          <w:rFonts w:hint="eastAsia" w:ascii="宋体" w:hAnsi="宋体"/>
          <w:sz w:val="24"/>
          <w:szCs w:val="24"/>
          <w:vertAlign w:val="superscript"/>
        </w:rPr>
        <w:t>2</w:t>
      </w:r>
      <w:r>
        <w:rPr>
          <w:rFonts w:hint="eastAsia" w:ascii="宋体" w:hAnsi="宋体"/>
          <w:sz w:val="24"/>
          <w:szCs w:val="24"/>
        </w:rPr>
        <w:t>（含智慧教室面积3431.4m</w:t>
      </w:r>
      <w:r>
        <w:rPr>
          <w:rFonts w:hint="eastAsia" w:ascii="宋体" w:hAnsi="宋体"/>
          <w:sz w:val="24"/>
          <w:szCs w:val="24"/>
          <w:vertAlign w:val="superscript"/>
        </w:rPr>
        <w:t>2</w:t>
      </w:r>
      <w:r>
        <w:rPr>
          <w:rFonts w:hint="eastAsia" w:ascii="宋体" w:hAnsi="宋体"/>
          <w:sz w:val="24"/>
          <w:szCs w:val="24"/>
        </w:rPr>
        <w:t>），实验室及实习场所面积43890.66m</w:t>
      </w:r>
      <w:r>
        <w:rPr>
          <w:rFonts w:hint="eastAsia" w:ascii="宋体" w:hAnsi="宋体"/>
          <w:sz w:val="24"/>
          <w:szCs w:val="24"/>
          <w:vertAlign w:val="superscript"/>
        </w:rPr>
        <w:t>2</w:t>
      </w:r>
      <w:r>
        <w:rPr>
          <w:rFonts w:hint="eastAsia" w:ascii="宋体" w:hAnsi="宋体"/>
          <w:sz w:val="24"/>
          <w:szCs w:val="24"/>
        </w:rPr>
        <w:t>。拥有体育馆面积13991.18m</w:t>
      </w:r>
      <w:r>
        <w:rPr>
          <w:rFonts w:hint="eastAsia" w:ascii="宋体" w:hAnsi="宋体"/>
          <w:sz w:val="24"/>
          <w:szCs w:val="24"/>
          <w:vertAlign w:val="superscript"/>
        </w:rPr>
        <w:t>2</w:t>
      </w:r>
      <w:r>
        <w:rPr>
          <w:rFonts w:hint="eastAsia" w:ascii="宋体" w:hAnsi="宋体"/>
          <w:sz w:val="24"/>
          <w:szCs w:val="24"/>
        </w:rPr>
        <w:t>。拥有运动场面积21902.58m</w:t>
      </w:r>
      <w:r>
        <w:rPr>
          <w:rFonts w:hint="eastAsia" w:ascii="宋体" w:hAnsi="宋体"/>
          <w:sz w:val="24"/>
          <w:szCs w:val="24"/>
          <w:vertAlign w:val="superscript"/>
        </w:rPr>
        <w:t>2</w:t>
      </w:r>
      <w:r>
        <w:rPr>
          <w:rFonts w:hint="eastAsia" w:ascii="宋体" w:hAnsi="宋体"/>
          <w:sz w:val="24"/>
          <w:szCs w:val="24"/>
        </w:rPr>
        <w:t>。</w:t>
      </w:r>
    </w:p>
    <w:p>
      <w:pPr>
        <w:spacing w:line="400" w:lineRule="exact"/>
        <w:ind w:firstLine="480" w:firstLineChars="200"/>
        <w:rPr>
          <w:rFonts w:eastAsia="黑体"/>
          <w:b/>
          <w:bCs/>
          <w:sz w:val="24"/>
          <w:szCs w:val="28"/>
        </w:rPr>
      </w:pPr>
      <w:r>
        <w:rPr>
          <w:rFonts w:hint="eastAsia" w:ascii="宋体" w:hAnsi="宋体"/>
          <w:sz w:val="24"/>
          <w:szCs w:val="24"/>
        </w:rPr>
        <w:t>按全日制在校生7310人算，生均学校占地面积为46.93（m</w:t>
      </w:r>
      <w:r>
        <w:rPr>
          <w:rFonts w:hint="eastAsia" w:ascii="宋体" w:hAnsi="宋体"/>
          <w:sz w:val="24"/>
          <w:szCs w:val="24"/>
          <w:vertAlign w:val="superscript"/>
        </w:rPr>
        <w:t>2</w:t>
      </w:r>
      <w:r>
        <w:rPr>
          <w:rFonts w:hint="eastAsia" w:ascii="宋体" w:hAnsi="宋体"/>
          <w:sz w:val="24"/>
          <w:szCs w:val="24"/>
        </w:rPr>
        <w:t>/生），生均建筑面积为32.77（m</w:t>
      </w:r>
      <w:r>
        <w:rPr>
          <w:rFonts w:hint="eastAsia" w:ascii="宋体" w:hAnsi="宋体"/>
          <w:sz w:val="24"/>
          <w:szCs w:val="24"/>
          <w:vertAlign w:val="superscript"/>
        </w:rPr>
        <w:t>2</w:t>
      </w:r>
      <w:r>
        <w:rPr>
          <w:rFonts w:hint="eastAsia" w:ascii="宋体" w:hAnsi="宋体"/>
          <w:sz w:val="24"/>
          <w:szCs w:val="24"/>
        </w:rPr>
        <w:t>/生），生均教学行政用房面积为20.44（m</w:t>
      </w:r>
      <w:r>
        <w:rPr>
          <w:rFonts w:hint="eastAsia" w:ascii="宋体" w:hAnsi="宋体"/>
          <w:sz w:val="24"/>
          <w:szCs w:val="24"/>
          <w:vertAlign w:val="superscript"/>
        </w:rPr>
        <w:t>2</w:t>
      </w:r>
      <w:r>
        <w:rPr>
          <w:rFonts w:hint="eastAsia" w:ascii="宋体" w:hAnsi="宋体"/>
          <w:sz w:val="24"/>
          <w:szCs w:val="24"/>
        </w:rPr>
        <w:t>/生），生均实验、实习场所面积6.00（m</w:t>
      </w:r>
      <w:r>
        <w:rPr>
          <w:rFonts w:hint="eastAsia" w:ascii="宋体" w:hAnsi="宋体"/>
          <w:sz w:val="24"/>
          <w:szCs w:val="24"/>
          <w:vertAlign w:val="superscript"/>
        </w:rPr>
        <w:t>2</w:t>
      </w:r>
      <w:r>
        <w:rPr>
          <w:rFonts w:hint="eastAsia" w:ascii="宋体" w:hAnsi="宋体"/>
          <w:sz w:val="24"/>
          <w:szCs w:val="24"/>
        </w:rPr>
        <w:t>/生），生均体育馆面积1.91（m</w:t>
      </w:r>
      <w:r>
        <w:rPr>
          <w:rFonts w:hint="eastAsia" w:ascii="宋体" w:hAnsi="宋体"/>
          <w:sz w:val="24"/>
          <w:szCs w:val="24"/>
          <w:vertAlign w:val="superscript"/>
        </w:rPr>
        <w:t>2</w:t>
      </w:r>
      <w:r>
        <w:rPr>
          <w:rFonts w:hint="eastAsia" w:ascii="宋体" w:hAnsi="宋体"/>
          <w:sz w:val="24"/>
          <w:szCs w:val="24"/>
        </w:rPr>
        <w:t>/生），生均运动场面积3.00（m</w:t>
      </w:r>
      <w:r>
        <w:rPr>
          <w:rFonts w:hint="eastAsia" w:ascii="宋体" w:hAnsi="宋体"/>
          <w:sz w:val="24"/>
          <w:szCs w:val="24"/>
          <w:vertAlign w:val="superscript"/>
        </w:rPr>
        <w:t>2</w:t>
      </w:r>
      <w:r>
        <w:rPr>
          <w:rFonts w:hint="eastAsia" w:ascii="宋体" w:hAnsi="宋体"/>
          <w:sz w:val="24"/>
          <w:szCs w:val="24"/>
        </w:rPr>
        <w:t>/生）。</w:t>
      </w:r>
    </w:p>
    <w:p>
      <w:pPr>
        <w:spacing w:line="400" w:lineRule="exact"/>
        <w:rPr>
          <w:rFonts w:eastAsia="黑体"/>
          <w:b/>
          <w:bCs/>
          <w:sz w:val="24"/>
          <w:szCs w:val="28"/>
        </w:rPr>
      </w:pPr>
      <w:r>
        <w:rPr>
          <w:rFonts w:eastAsia="黑体"/>
          <w:b/>
          <w:bCs/>
          <w:sz w:val="24"/>
          <w:szCs w:val="28"/>
        </w:rPr>
        <w:t>2.4.2教学科研仪器设备与教学实验室</w:t>
      </w:r>
    </w:p>
    <w:p>
      <w:pPr>
        <w:spacing w:line="400" w:lineRule="exact"/>
        <w:ind w:firstLine="480" w:firstLineChars="200"/>
        <w:jc w:val="left"/>
      </w:pPr>
      <w:r>
        <w:rPr>
          <w:rFonts w:hint="eastAsia" w:ascii="宋体" w:hAnsi="宋体"/>
          <w:sz w:val="24"/>
          <w:szCs w:val="24"/>
        </w:rPr>
        <w:t>学校现有教学、科研仪器设备资产总值0.38亿元，生均教学科研仪器设备值0.52万元。当年新增教学科研仪器设备值761.57万元，新增值达到教学科研仪器设备总值的25.07%。</w:t>
      </w:r>
    </w:p>
    <w:p>
      <w:pPr>
        <w:spacing w:line="400" w:lineRule="exact"/>
        <w:ind w:firstLine="480" w:firstLineChars="200"/>
        <w:jc w:val="left"/>
        <w:rPr>
          <w:rFonts w:ascii="宋体" w:hAnsi="宋体"/>
          <w:sz w:val="24"/>
          <w:szCs w:val="24"/>
        </w:rPr>
      </w:pPr>
      <w:r>
        <w:rPr>
          <w:rFonts w:hint="eastAsia" w:ascii="宋体" w:hAnsi="宋体"/>
          <w:sz w:val="24"/>
          <w:szCs w:val="24"/>
        </w:rPr>
        <w:t>学校建有护理学、临床技能、解剖学等省级示范实验教学中心3个，并积极申报机能学、药学综合省级示范实验教学中心。</w:t>
      </w:r>
    </w:p>
    <w:p>
      <w:pPr>
        <w:spacing w:line="400" w:lineRule="exact"/>
        <w:rPr>
          <w:rFonts w:eastAsia="黑体"/>
          <w:b/>
          <w:sz w:val="24"/>
          <w:szCs w:val="28"/>
        </w:rPr>
      </w:pPr>
      <w:r>
        <w:rPr>
          <w:rFonts w:eastAsia="黑体"/>
          <w:b/>
          <w:sz w:val="24"/>
          <w:szCs w:val="28"/>
        </w:rPr>
        <w:t>2.4.3图书馆及图书资源</w:t>
      </w:r>
    </w:p>
    <w:p>
      <w:pPr>
        <w:spacing w:line="400" w:lineRule="exact"/>
        <w:ind w:firstLine="480" w:firstLineChars="200"/>
        <w:rPr>
          <w:rFonts w:ascii="宋体" w:hAnsi="宋体"/>
          <w:sz w:val="24"/>
          <w:szCs w:val="24"/>
        </w:rPr>
      </w:pPr>
      <w:r>
        <w:rPr>
          <w:kern w:val="0"/>
          <w:sz w:val="24"/>
          <w:szCs w:val="24"/>
          <w:shd w:val="clear" w:color="auto" w:fill="FFFFFF"/>
        </w:rPr>
        <w:t>学院不断加大对图书馆文献资源的投入，馆藏文献逐年增加。</w:t>
      </w:r>
      <w:r>
        <w:rPr>
          <w:rFonts w:hint="eastAsia" w:ascii="宋体" w:hAnsi="宋体"/>
          <w:sz w:val="24"/>
          <w:szCs w:val="24"/>
        </w:rPr>
        <w:t>截至2023年9月，学校拥有图书馆1个，图书馆总面积达到34502.9m</w:t>
      </w:r>
      <w:r>
        <w:rPr>
          <w:rFonts w:hint="eastAsia" w:ascii="宋体" w:hAnsi="宋体"/>
          <w:sz w:val="24"/>
          <w:szCs w:val="24"/>
          <w:vertAlign w:val="superscript"/>
        </w:rPr>
        <w:t>2</w:t>
      </w:r>
      <w:r>
        <w:rPr>
          <w:rFonts w:hint="eastAsia" w:ascii="宋体" w:hAnsi="宋体"/>
          <w:sz w:val="24"/>
          <w:szCs w:val="24"/>
        </w:rPr>
        <w:t>，阅览室座位数862个。图书馆拥有纸质图书58.56万册，当年新增87995.0册，生均纸质图书80.11册；拥有电子期刊0.72万册，学位论文41.12万册，音视频2400.0小时。2022年图书流通量达到1.37万本册，电子资源访问量110.69万次，当年电子资源下载量3.61万篇次。</w:t>
      </w:r>
    </w:p>
    <w:p>
      <w:pPr>
        <w:spacing w:line="400" w:lineRule="exact"/>
        <w:ind w:firstLine="480" w:firstLineChars="200"/>
      </w:pPr>
      <w:r>
        <w:rPr>
          <w:rFonts w:hint="eastAsia"/>
          <w:kern w:val="0"/>
          <w:sz w:val="24"/>
          <w:szCs w:val="24"/>
          <w:shd w:val="clear" w:color="auto" w:fill="FFFFFF"/>
        </w:rPr>
        <w:t>目前学院作为安徽省高校数字图书馆会员单位，共享13个中外文电子资源数据库，主要有博看电子期刊、万方中文电子期刊、新东方多媒体学习库等，另外学院采购中国知网、超星汇雅电子图书等相关数据库，逐步形成纸质图书和电子文献并存、实体资源与虚拟资源互补的图书文献资源体系。</w:t>
      </w:r>
    </w:p>
    <w:p>
      <w:pPr>
        <w:pStyle w:val="2"/>
        <w:spacing w:before="0" w:after="0" w:line="240" w:lineRule="auto"/>
        <w:rPr>
          <w:rFonts w:eastAsia="黑体"/>
          <w:sz w:val="30"/>
          <w:szCs w:val="30"/>
        </w:rPr>
      </w:pPr>
      <w:bookmarkStart w:id="73" w:name="_Toc1226"/>
      <w:bookmarkStart w:id="74" w:name="_Toc8624"/>
      <w:bookmarkStart w:id="75" w:name="_Toc14485"/>
      <w:bookmarkStart w:id="76" w:name="_Toc1576"/>
      <w:bookmarkStart w:id="77" w:name="_Toc23358"/>
      <w:bookmarkStart w:id="78" w:name="_Toc74"/>
      <w:bookmarkStart w:id="79" w:name="_Toc27732520"/>
      <w:r>
        <w:rPr>
          <w:rFonts w:eastAsia="黑体"/>
          <w:sz w:val="30"/>
          <w:szCs w:val="30"/>
        </w:rPr>
        <w:t>三、教学建设与改革</w:t>
      </w:r>
      <w:bookmarkEnd w:id="73"/>
      <w:bookmarkEnd w:id="74"/>
      <w:bookmarkEnd w:id="75"/>
      <w:bookmarkEnd w:id="76"/>
      <w:bookmarkEnd w:id="77"/>
      <w:bookmarkEnd w:id="78"/>
      <w:bookmarkEnd w:id="79"/>
    </w:p>
    <w:p>
      <w:pPr>
        <w:pStyle w:val="3"/>
        <w:spacing w:before="0" w:after="0" w:line="240" w:lineRule="auto"/>
        <w:jc w:val="left"/>
        <w:rPr>
          <w:rFonts w:ascii="Times New Roman" w:hAnsi="Times New Roman" w:eastAsia="黑体"/>
          <w:sz w:val="28"/>
          <w:szCs w:val="28"/>
        </w:rPr>
      </w:pPr>
      <w:bookmarkStart w:id="80" w:name="_Toc27732521"/>
      <w:bookmarkStart w:id="81" w:name="_Toc32066"/>
      <w:bookmarkStart w:id="82" w:name="_Toc29289"/>
      <w:bookmarkStart w:id="83" w:name="_Toc3581"/>
      <w:bookmarkStart w:id="84" w:name="_Toc10472"/>
      <w:bookmarkStart w:id="85" w:name="_Toc6050"/>
      <w:bookmarkStart w:id="86" w:name="_Toc21986"/>
      <w:r>
        <w:rPr>
          <w:rFonts w:ascii="Times New Roman" w:hAnsi="Times New Roman" w:eastAsia="黑体"/>
          <w:sz w:val="28"/>
          <w:szCs w:val="28"/>
        </w:rPr>
        <w:t>3.1专业建设</w:t>
      </w:r>
      <w:bookmarkEnd w:id="80"/>
      <w:bookmarkEnd w:id="81"/>
      <w:bookmarkEnd w:id="82"/>
      <w:bookmarkEnd w:id="83"/>
      <w:bookmarkEnd w:id="84"/>
      <w:bookmarkEnd w:id="85"/>
      <w:bookmarkEnd w:id="86"/>
    </w:p>
    <w:p>
      <w:pPr>
        <w:widowControl/>
        <w:spacing w:line="400" w:lineRule="exact"/>
        <w:ind w:firstLine="480" w:firstLineChars="200"/>
        <w:contextualSpacing/>
        <w:rPr>
          <w:kern w:val="0"/>
          <w:sz w:val="24"/>
          <w:szCs w:val="24"/>
          <w:shd w:val="clear" w:color="auto" w:fill="FFFFFF"/>
        </w:rPr>
      </w:pPr>
      <w:r>
        <w:rPr>
          <w:rFonts w:hint="eastAsia"/>
          <w:kern w:val="0"/>
          <w:sz w:val="24"/>
          <w:szCs w:val="24"/>
          <w:shd w:val="clear" w:color="auto" w:fill="FFFFFF"/>
        </w:rPr>
        <w:t>202</w:t>
      </w:r>
      <w:r>
        <w:rPr>
          <w:kern w:val="0"/>
          <w:sz w:val="24"/>
          <w:szCs w:val="24"/>
          <w:shd w:val="clear" w:color="auto" w:fill="FFFFFF"/>
        </w:rPr>
        <w:t>3</w:t>
      </w:r>
      <w:r>
        <w:rPr>
          <w:rFonts w:hint="eastAsia"/>
          <w:kern w:val="0"/>
          <w:sz w:val="24"/>
          <w:szCs w:val="24"/>
          <w:shd w:val="clear" w:color="auto" w:fill="FFFFFF"/>
        </w:rPr>
        <w:t>年，为进一步适应安徽省十大新兴产业建设需要，学院积极布局生命健康产业新兴专业，积极组织申报生物制药、麻醉学、口腔医学、中西医结合临床医学等新专业。其中，生物制药专业获批招生。学院以新医科建设为统领，不断深化专业内涵，护理学省级一流专业与合肥市第一人民医院集团共建老年护理省级产业学院，临床医学省级一流专业与杏林社区卫生服务中心、南岗卫生院、小庙中心医院等基层医疗机构共建全科医学省级实践教学示范基地，生物医学工程专业积极申报并获批省级“六卓越一拔尖”项目，预防医学专业积极申报并获批省级高水平公卫学院，智能医学工程专业和生物医药数据科学专业积极推进与中科大先进技术研究院合作共建省级基因药物产业学院。</w:t>
      </w:r>
    </w:p>
    <w:p>
      <w:pPr>
        <w:widowControl/>
        <w:spacing w:line="400" w:lineRule="exact"/>
        <w:ind w:firstLine="480" w:firstLineChars="200"/>
        <w:contextualSpacing/>
        <w:rPr>
          <w:rFonts w:ascii="宋体" w:hAnsi="宋体" w:cs="宋体"/>
          <w:sz w:val="24"/>
        </w:rPr>
      </w:pPr>
      <w:r>
        <w:rPr>
          <w:rFonts w:hint="eastAsia"/>
          <w:kern w:val="0"/>
          <w:sz w:val="24"/>
          <w:szCs w:val="24"/>
          <w:shd w:val="clear" w:color="auto" w:fill="FFFFFF"/>
        </w:rPr>
        <w:t>学院全面推进2022版人才培养方案的制修订工作，以习近平新时代中国特色社会主义思想为指导，坚定社会主义办学方向，遵循医学教育基本规律和医学人才成长规律，坚持“需求导向、错位争先、医教协同、特色发展”的办学思路，坚持“德医双修、全面发展”的育人理念，继续深化新医科建设，不断完善应用型医学本科教育教学体系，大力培养医学基础扎实、临床（实践）能力强、综合素质高的应用型专门人才。</w:t>
      </w:r>
    </w:p>
    <w:p>
      <w:pPr>
        <w:pStyle w:val="3"/>
        <w:spacing w:before="0" w:after="0" w:line="240" w:lineRule="auto"/>
        <w:jc w:val="left"/>
        <w:rPr>
          <w:rFonts w:ascii="Times New Roman" w:hAnsi="Times New Roman" w:eastAsia="黑体"/>
          <w:sz w:val="28"/>
          <w:szCs w:val="28"/>
        </w:rPr>
      </w:pPr>
      <w:bookmarkStart w:id="87" w:name="_Toc1398"/>
      <w:r>
        <w:rPr>
          <w:rFonts w:ascii="Times New Roman" w:hAnsi="Times New Roman" w:eastAsia="黑体"/>
          <w:sz w:val="28"/>
          <w:szCs w:val="28"/>
        </w:rPr>
        <w:t>3.2</w:t>
      </w:r>
      <w:r>
        <w:rPr>
          <w:rFonts w:hint="eastAsia" w:ascii="Times New Roman" w:hAnsi="Times New Roman" w:eastAsia="黑体"/>
          <w:sz w:val="28"/>
          <w:szCs w:val="28"/>
        </w:rPr>
        <w:t>课程</w:t>
      </w:r>
      <w:r>
        <w:rPr>
          <w:rFonts w:ascii="Times New Roman" w:hAnsi="Times New Roman" w:eastAsia="黑体"/>
          <w:sz w:val="28"/>
          <w:szCs w:val="28"/>
        </w:rPr>
        <w:t>建设</w:t>
      </w:r>
      <w:bookmarkEnd w:id="87"/>
    </w:p>
    <w:p>
      <w:pPr>
        <w:pStyle w:val="19"/>
        <w:spacing w:before="0" w:beforeAutospacing="0" w:after="0" w:afterAutospacing="0" w:line="400" w:lineRule="exact"/>
        <w:ind w:firstLine="482"/>
        <w:jc w:val="both"/>
        <w:rPr>
          <w:rFonts w:ascii="Times New Roman" w:hAnsi="Times New Roman" w:cs="Times New Roman"/>
          <w:shd w:val="clear" w:color="auto" w:fill="FFFFFF"/>
        </w:rPr>
      </w:pPr>
      <w:bookmarkStart w:id="88" w:name="_Toc26561"/>
      <w:bookmarkStart w:id="89" w:name="_Toc10866"/>
      <w:bookmarkStart w:id="90" w:name="_Toc24084"/>
      <w:bookmarkStart w:id="91" w:name="_Toc27732523"/>
      <w:bookmarkStart w:id="92" w:name="_Toc4460"/>
      <w:bookmarkStart w:id="93" w:name="_Toc12250"/>
      <w:r>
        <w:rPr>
          <w:rFonts w:hint="eastAsia" w:ascii="Times New Roman" w:hAnsi="Times New Roman" w:cs="Times New Roman"/>
          <w:shd w:val="clear" w:color="auto" w:fill="FFFFFF"/>
        </w:rPr>
        <w:t>学院每学期严格执行各专业人才培养方案，为广大学生们提供优质课程。2022-2023学年共开设公共必修课37门、公共选修课59门，专业课374门，共计45777学时。积极组织申报校级一流课程14门，获批立项省级一流课程7门。为进一步推进“面向专业的公共课程改革”，打造具有医学院校特色的思政课堂，学院召开公共课程教学改革研讨会和思政课程教学改革研讨会，开展《大学英语》课程分级教学改革、《计算机基础与应用》考核方式改革、《大学美育》课程的教学内容改革以及思政类课程的教学方法改革等。</w:t>
      </w:r>
    </w:p>
    <w:p>
      <w:pPr>
        <w:widowControl/>
        <w:spacing w:line="400" w:lineRule="exact"/>
        <w:ind w:firstLine="480" w:firstLineChars="200"/>
      </w:pPr>
      <w:r>
        <w:rPr>
          <w:rFonts w:hint="eastAsia"/>
          <w:kern w:val="0"/>
          <w:sz w:val="24"/>
          <w:szCs w:val="24"/>
          <w:shd w:val="clear" w:color="auto" w:fill="FFFFFF"/>
        </w:rPr>
        <w:t>学院扎实推进课程改革创新，加强课程团队建设，着力打造高质量“金课”，同时引导教师更新教学理念，改进教学方法，稳步提升教学质量。以习近平新时代中国特色社会主义思想为指导，落实立德树人根本任务，坚持新医科理念统领，更新教学内容，改革教学方法，创新考核评价，推进医学教育课堂教学改革，促进现代信息技术与医学教育教学深度融合，探索智能医学教育新形态，提高学生自主学习能力和教师课堂教学水平。2022-2023学年，学院以10门特色教改课程为抓手，以教学方法和考核评价改革为重点，掀起“医学课堂革命”，推进医学教育教学改革，努力提高医学课堂教学质量。</w:t>
      </w:r>
    </w:p>
    <w:p>
      <w:pPr>
        <w:pStyle w:val="3"/>
        <w:spacing w:before="0" w:after="0" w:line="240" w:lineRule="auto"/>
        <w:jc w:val="left"/>
        <w:rPr>
          <w:rFonts w:ascii="Times New Roman" w:hAnsi="Times New Roman" w:eastAsia="黑体"/>
          <w:sz w:val="28"/>
          <w:szCs w:val="28"/>
        </w:rPr>
      </w:pPr>
      <w:bookmarkStart w:id="94" w:name="_Toc27882"/>
      <w:r>
        <w:rPr>
          <w:rFonts w:hint="eastAsia" w:ascii="Times New Roman" w:hAnsi="Times New Roman" w:eastAsia="黑体"/>
          <w:sz w:val="28"/>
          <w:szCs w:val="28"/>
        </w:rPr>
        <w:t>3.3教材建设</w:t>
      </w:r>
      <w:bookmarkEnd w:id="94"/>
    </w:p>
    <w:bookmarkEnd w:id="88"/>
    <w:bookmarkEnd w:id="89"/>
    <w:bookmarkEnd w:id="90"/>
    <w:bookmarkEnd w:id="91"/>
    <w:bookmarkEnd w:id="92"/>
    <w:bookmarkEnd w:id="93"/>
    <w:p>
      <w:pPr>
        <w:widowControl/>
        <w:spacing w:line="400" w:lineRule="exact"/>
        <w:ind w:firstLine="480" w:firstLineChars="200"/>
        <w:contextualSpacing/>
        <w:rPr>
          <w:rFonts w:ascii="宋体" w:hAnsi="宋体" w:cs="宋体"/>
          <w:sz w:val="24"/>
        </w:rPr>
      </w:pPr>
      <w:bookmarkStart w:id="95" w:name="_Toc8097"/>
      <w:bookmarkStart w:id="96" w:name="_Toc16124"/>
      <w:bookmarkStart w:id="97" w:name="_Toc11839"/>
      <w:bookmarkStart w:id="98" w:name="_Toc5428"/>
      <w:bookmarkStart w:id="99" w:name="_Toc27732524"/>
      <w:bookmarkStart w:id="100" w:name="_Toc9785"/>
      <w:r>
        <w:rPr>
          <w:rFonts w:hint="eastAsia" w:ascii="宋体" w:hAnsi="宋体" w:cs="宋体"/>
          <w:sz w:val="24"/>
          <w:szCs w:val="24"/>
        </w:rPr>
        <w:t>学院牢牢把握教材建设和使用的政治方向和价值导向，深入推进习近平新时代中国特色社会主义思想进教材、进课堂、进思想，维护意识形态安全，充分发挥高校立德树人的强大功效。结合专业发展与课程建设需要，每学期开展下一学期的教材选用院系两级审核工作，确保马工程教材覆盖率100%、国家级、省部级规划教材选用率不低于80%。2022-2023学年共选用教材300种（其中，思政类9种，语言类5种；社科类37种；医学类163种；理工类86种）。对于思政类、社科类、心理类、公管类、法学类、语言类、自编类教材，学院统一组织检查；其他教材由开课部门开展专项论证与检查，重点对政治、民族、历史、宗教等涉及意识形态的内容以及封面、插图的科学性和合理性进行检查。通过严格把控选用流程，严格落实教材管理制度，确保高质量的教材进课堂。</w:t>
      </w:r>
    </w:p>
    <w:p>
      <w:pPr>
        <w:pStyle w:val="3"/>
        <w:spacing w:before="0" w:after="0" w:line="240" w:lineRule="auto"/>
        <w:jc w:val="left"/>
        <w:rPr>
          <w:rFonts w:ascii="Times New Roman" w:hAnsi="Times New Roman" w:eastAsia="黑体"/>
          <w:sz w:val="28"/>
          <w:szCs w:val="28"/>
        </w:rPr>
      </w:pPr>
      <w:bookmarkStart w:id="101" w:name="_Toc28194"/>
      <w:r>
        <w:rPr>
          <w:rFonts w:ascii="Times New Roman" w:hAnsi="Times New Roman" w:eastAsia="黑体"/>
          <w:sz w:val="28"/>
          <w:szCs w:val="28"/>
        </w:rPr>
        <w:t>3.4实践教学</w:t>
      </w:r>
      <w:bookmarkEnd w:id="95"/>
      <w:bookmarkEnd w:id="96"/>
      <w:bookmarkEnd w:id="97"/>
      <w:bookmarkEnd w:id="98"/>
      <w:bookmarkEnd w:id="99"/>
      <w:bookmarkEnd w:id="100"/>
      <w:bookmarkEnd w:id="101"/>
    </w:p>
    <w:p>
      <w:pPr>
        <w:rPr>
          <w:rFonts w:eastAsia="黑体"/>
          <w:b/>
          <w:sz w:val="24"/>
          <w:szCs w:val="28"/>
        </w:rPr>
      </w:pPr>
      <w:r>
        <w:rPr>
          <w:rFonts w:eastAsia="黑体"/>
          <w:b/>
          <w:sz w:val="24"/>
          <w:szCs w:val="28"/>
        </w:rPr>
        <w:t>3.4.1提升实验</w:t>
      </w:r>
      <w:r>
        <w:rPr>
          <w:rFonts w:hint="eastAsia" w:eastAsia="黑体"/>
          <w:b/>
          <w:sz w:val="24"/>
          <w:szCs w:val="28"/>
        </w:rPr>
        <w:t>教学</w:t>
      </w:r>
      <w:r>
        <w:rPr>
          <w:rFonts w:eastAsia="黑体"/>
          <w:b/>
          <w:sz w:val="24"/>
          <w:szCs w:val="28"/>
        </w:rPr>
        <w:t>水平</w:t>
      </w:r>
    </w:p>
    <w:p>
      <w:pPr>
        <w:spacing w:line="400" w:lineRule="exact"/>
        <w:ind w:firstLine="480" w:firstLineChars="200"/>
        <w:rPr>
          <w:rFonts w:ascii="宋体" w:hAnsi="宋体"/>
          <w:sz w:val="24"/>
          <w:szCs w:val="24"/>
          <w:highlight w:val="yellow"/>
        </w:rPr>
      </w:pPr>
      <w:r>
        <w:rPr>
          <w:rFonts w:ascii="宋体" w:hAnsi="宋体" w:cs="宋体"/>
          <w:sz w:val="24"/>
          <w:szCs w:val="24"/>
        </w:rPr>
        <w:t>2023年，为加强实验室建设、改造和更新，立项并完成了虚拟仿真实验室、心肺听诊实验室、预防医学中心实验室等新建、扩建实验室项目9项，引进先进的实验设备和技术，安装实验室电子门禁，完成临床技能OSCE考站的建设验收，提高实验室的功能性和安全性。同时，学院加强对实验教学人员的培训和管理，构建科学的实验教学考核和评价体系，提升实验教学人员的专业素养和教学水平，加大了实验教学准备和仪器设备维护的监管力度，提高了教学保障水平，这些举措的实施，为学生提供了更加优质的实验教学环境和体验，使得学院的实验教学水平得到了显著提升。</w:t>
      </w:r>
    </w:p>
    <w:p>
      <w:pPr>
        <w:spacing w:line="400" w:lineRule="exact"/>
        <w:ind w:firstLine="480" w:firstLineChars="200"/>
        <w:rPr>
          <w:rFonts w:ascii="宋体" w:hAnsi="宋体"/>
          <w:sz w:val="24"/>
          <w:szCs w:val="24"/>
          <w:highlight w:val="yellow"/>
        </w:rPr>
      </w:pPr>
      <w:r>
        <w:rPr>
          <w:rFonts w:hint="eastAsia" w:ascii="宋体" w:hAnsi="宋体" w:cs="宋体"/>
          <w:sz w:val="24"/>
          <w:szCs w:val="24"/>
        </w:rPr>
        <w:t>本学年本科生开设实验的专业课程共计165.0门，其中独立设置的专业实验课程9.0门。学校有实验技术人员28.0人，具有高级职称3.0人，所占比例为10.71%，具有硕士及以上学位2.0人，所占比例为7.14%。</w:t>
      </w:r>
    </w:p>
    <w:p>
      <w:pPr>
        <w:spacing w:line="400" w:lineRule="exact"/>
        <w:rPr>
          <w:rFonts w:eastAsia="黑体"/>
          <w:b/>
          <w:sz w:val="24"/>
          <w:szCs w:val="24"/>
        </w:rPr>
      </w:pPr>
      <w:r>
        <w:rPr>
          <w:rFonts w:eastAsia="黑体"/>
          <w:b/>
          <w:sz w:val="24"/>
          <w:szCs w:val="24"/>
          <w:lang w:bidi="ar"/>
        </w:rPr>
        <w:t>3.4.2</w:t>
      </w:r>
      <w:r>
        <w:rPr>
          <w:rFonts w:ascii="黑体" w:hAnsi="宋体" w:eastAsia="黑体" w:cs="黑体"/>
          <w:b/>
          <w:sz w:val="24"/>
          <w:szCs w:val="24"/>
          <w:lang w:bidi="ar"/>
        </w:rPr>
        <w:t>严格本科毕业论文管理</w:t>
      </w:r>
    </w:p>
    <w:p>
      <w:pPr>
        <w:spacing w:line="400" w:lineRule="exact"/>
        <w:ind w:firstLine="480" w:firstLineChars="200"/>
        <w:rPr>
          <w:rFonts w:eastAsia="黑体"/>
          <w:b/>
          <w:sz w:val="24"/>
          <w:szCs w:val="28"/>
        </w:rPr>
      </w:pPr>
      <w:r>
        <w:rPr>
          <w:rFonts w:ascii="宋体" w:hAnsi="宋体" w:cs="宋体"/>
          <w:sz w:val="24"/>
          <w:szCs w:val="24"/>
        </w:rPr>
        <w:t>2022-2023学年共有395名学生</w:t>
      </w:r>
      <w:r>
        <w:rPr>
          <w:rFonts w:hint="eastAsia" w:ascii="宋体" w:hAnsi="宋体" w:cs="宋体"/>
          <w:sz w:val="24"/>
          <w:szCs w:val="24"/>
        </w:rPr>
        <w:t>完成</w:t>
      </w:r>
      <w:r>
        <w:rPr>
          <w:rFonts w:ascii="宋体" w:hAnsi="宋体" w:cs="宋体"/>
          <w:sz w:val="24"/>
          <w:szCs w:val="24"/>
        </w:rPr>
        <w:t>毕业论文395</w:t>
      </w:r>
      <w:r>
        <w:rPr>
          <w:rFonts w:hint="eastAsia" w:ascii="宋体" w:hAnsi="宋体" w:cs="宋体"/>
          <w:sz w:val="24"/>
          <w:szCs w:val="24"/>
        </w:rPr>
        <w:t>篇</w:t>
      </w:r>
      <w:r>
        <w:rPr>
          <w:rFonts w:ascii="宋体" w:hAnsi="宋体" w:cs="宋体"/>
          <w:sz w:val="24"/>
          <w:szCs w:val="24"/>
        </w:rPr>
        <w:t>，41位老师参与指导工作。</w:t>
      </w:r>
      <w:r>
        <w:rPr>
          <w:rFonts w:hint="eastAsia" w:ascii="宋体" w:hAnsi="宋体" w:cs="宋体"/>
          <w:sz w:val="24"/>
          <w:szCs w:val="24"/>
        </w:rPr>
        <w:t>学院每年10月</w:t>
      </w:r>
      <w:r>
        <w:rPr>
          <w:rFonts w:ascii="宋体" w:hAnsi="宋体" w:cs="宋体"/>
          <w:sz w:val="24"/>
          <w:szCs w:val="24"/>
        </w:rPr>
        <w:t>组织</w:t>
      </w:r>
      <w:r>
        <w:rPr>
          <w:rFonts w:hint="eastAsia" w:ascii="宋体" w:hAnsi="宋体" w:cs="宋体"/>
          <w:sz w:val="24"/>
          <w:szCs w:val="24"/>
        </w:rPr>
        <w:t>启动下一届本科毕业论文工作。各专业根据学院的总体要求，结合自身的教学计划和实习安排，统筹规划本专业的毕业论文工作计划。学生在5月份完成文稿的撰写和文字复制比检测后，即可开始毕业论文答辩工作。</w:t>
      </w:r>
      <w:r>
        <w:rPr>
          <w:rFonts w:ascii="宋体" w:hAnsi="宋体" w:cs="宋体"/>
          <w:sz w:val="24"/>
          <w:szCs w:val="24"/>
        </w:rPr>
        <w:t>7月-9月教务处组织开展毕业论文（设计）检查工作，同时根据《教育部关于印发</w:t>
      </w:r>
      <w:r>
        <w:rPr>
          <w:rFonts w:hint="eastAsia" w:ascii="宋体" w:hAnsi="宋体" w:cs="宋体"/>
          <w:sz w:val="24"/>
          <w:szCs w:val="24"/>
        </w:rPr>
        <w:t>&lt;</w:t>
      </w:r>
      <w:r>
        <w:rPr>
          <w:rFonts w:ascii="宋体" w:hAnsi="宋体" w:cs="宋体"/>
          <w:sz w:val="24"/>
          <w:szCs w:val="24"/>
        </w:rPr>
        <w:t>本科毕业论文（设计）抽检办法（试行）</w:t>
      </w:r>
      <w:r>
        <w:rPr>
          <w:rFonts w:hint="eastAsia" w:ascii="宋体" w:hAnsi="宋体" w:cs="宋体"/>
          <w:sz w:val="24"/>
          <w:szCs w:val="24"/>
        </w:rPr>
        <w:t>&gt;</w:t>
      </w:r>
      <w:r>
        <w:rPr>
          <w:rFonts w:ascii="宋体" w:hAnsi="宋体" w:cs="宋体"/>
          <w:sz w:val="24"/>
          <w:szCs w:val="24"/>
        </w:rPr>
        <w:t>的通知》（教督〔2020〕5号）以及《关于做好本科毕业论文（设计）抽检工作的通知》（国教督办函〔2022〕23号）文件精神，将本学年所有毕业论文上传“全国本科毕业论文（设计）抽检平台”。</w:t>
      </w:r>
    </w:p>
    <w:p>
      <w:pPr>
        <w:rPr>
          <w:rFonts w:eastAsia="黑体"/>
          <w:b/>
          <w:sz w:val="24"/>
          <w:szCs w:val="28"/>
        </w:rPr>
      </w:pPr>
      <w:r>
        <w:rPr>
          <w:rFonts w:eastAsia="黑体"/>
          <w:b/>
          <w:sz w:val="24"/>
          <w:szCs w:val="28"/>
        </w:rPr>
        <w:t>3.4.</w:t>
      </w:r>
      <w:r>
        <w:rPr>
          <w:rFonts w:hint="eastAsia" w:eastAsia="黑体"/>
          <w:b/>
          <w:sz w:val="24"/>
          <w:szCs w:val="28"/>
        </w:rPr>
        <w:t>3</w:t>
      </w:r>
      <w:r>
        <w:rPr>
          <w:rFonts w:eastAsia="黑体"/>
          <w:b/>
          <w:sz w:val="24"/>
          <w:szCs w:val="28"/>
        </w:rPr>
        <w:t>加强校外实践教育基地建设</w:t>
      </w:r>
      <w:bookmarkStart w:id="102" w:name="_Toc25372"/>
      <w:bookmarkStart w:id="103" w:name="_Toc27732525"/>
      <w:bookmarkStart w:id="104" w:name="_Toc16211"/>
      <w:bookmarkStart w:id="105" w:name="_Toc10888"/>
      <w:bookmarkStart w:id="106" w:name="_Toc22948"/>
      <w:bookmarkStart w:id="107" w:name="_Toc10464"/>
    </w:p>
    <w:p>
      <w:pPr>
        <w:spacing w:line="400" w:lineRule="exact"/>
        <w:ind w:firstLine="480" w:firstLineChars="200"/>
        <w:rPr>
          <w:rFonts w:ascii="宋体" w:hAnsi="宋体" w:cs="宋体"/>
          <w:sz w:val="24"/>
          <w:szCs w:val="24"/>
        </w:rPr>
      </w:pPr>
      <w:r>
        <w:rPr>
          <w:rFonts w:hint="eastAsia" w:ascii="宋体" w:hAnsi="宋体" w:cs="宋体"/>
          <w:sz w:val="24"/>
          <w:szCs w:val="24"/>
        </w:rPr>
        <w:t>近年来</w:t>
      </w:r>
      <w:r>
        <w:rPr>
          <w:rFonts w:ascii="宋体" w:hAnsi="宋体" w:cs="宋体"/>
          <w:sz w:val="24"/>
          <w:szCs w:val="24"/>
        </w:rPr>
        <w:t>，</w:t>
      </w:r>
      <w:r>
        <w:rPr>
          <w:rFonts w:hint="eastAsia" w:ascii="宋体" w:hAnsi="宋体" w:cs="宋体"/>
          <w:sz w:val="24"/>
          <w:szCs w:val="24"/>
        </w:rPr>
        <w:t>学院进一步深化实践教学改革力度，拓展临床教学资源，加强实践教学基地建设。</w:t>
      </w:r>
      <w:r>
        <w:rPr>
          <w:rFonts w:ascii="宋体" w:hAnsi="宋体" w:cs="宋体"/>
          <w:sz w:val="24"/>
          <w:szCs w:val="24"/>
        </w:rPr>
        <w:t>2022-2023学年，学院新增教学医院、实习医院、医药企业等19家，目前长期合作的实践教学基地共46家，其中教学医院5家，实习医院34家，社区医院1家、医药企业6家。</w:t>
      </w:r>
      <w:r>
        <w:rPr>
          <w:rFonts w:hint="eastAsia" w:ascii="宋体" w:hAnsi="宋体" w:cs="宋体"/>
          <w:sz w:val="24"/>
          <w:szCs w:val="24"/>
        </w:rPr>
        <w:t>本学年统筹</w:t>
      </w:r>
      <w:r>
        <w:rPr>
          <w:rFonts w:ascii="宋体" w:hAnsi="宋体" w:cs="宋体"/>
          <w:sz w:val="24"/>
          <w:szCs w:val="24"/>
        </w:rPr>
        <w:t>安排临床</w:t>
      </w:r>
      <w:r>
        <w:rPr>
          <w:rFonts w:hint="eastAsia" w:ascii="宋体" w:hAnsi="宋体" w:cs="宋体"/>
          <w:sz w:val="24"/>
          <w:szCs w:val="24"/>
        </w:rPr>
        <w:t>医学</w:t>
      </w:r>
      <w:r>
        <w:rPr>
          <w:rFonts w:ascii="宋体" w:hAnsi="宋体" w:cs="宋体"/>
          <w:sz w:val="24"/>
          <w:szCs w:val="24"/>
        </w:rPr>
        <w:t>、医学检验技术、医学影像技术、康复治疗学、眼视光学、护理学、药学、生物医学工程实习生1760</w:t>
      </w:r>
      <w:r>
        <w:rPr>
          <w:rFonts w:hint="eastAsia" w:ascii="宋体" w:hAnsi="宋体" w:cs="宋体"/>
          <w:sz w:val="24"/>
          <w:szCs w:val="24"/>
        </w:rPr>
        <w:t>人。</w:t>
      </w:r>
    </w:p>
    <w:p>
      <w:pPr>
        <w:pStyle w:val="3"/>
        <w:spacing w:before="0" w:after="0" w:line="240" w:lineRule="auto"/>
        <w:rPr>
          <w:rFonts w:ascii="Times New Roman" w:hAnsi="Times New Roman" w:eastAsia="黑体"/>
          <w:sz w:val="28"/>
          <w:szCs w:val="28"/>
        </w:rPr>
      </w:pPr>
      <w:bookmarkStart w:id="108" w:name="_Toc30450"/>
      <w:r>
        <w:rPr>
          <w:rFonts w:ascii="Times New Roman" w:hAnsi="Times New Roman" w:eastAsia="黑体"/>
          <w:sz w:val="28"/>
          <w:szCs w:val="28"/>
        </w:rPr>
        <w:t>3.5教学改革</w:t>
      </w:r>
      <w:bookmarkEnd w:id="108"/>
    </w:p>
    <w:p>
      <w:pPr>
        <w:rPr>
          <w:rFonts w:eastAsia="黑体"/>
          <w:b/>
          <w:sz w:val="24"/>
          <w:szCs w:val="28"/>
        </w:rPr>
      </w:pPr>
      <w:r>
        <w:rPr>
          <w:rFonts w:eastAsia="黑体"/>
          <w:b/>
          <w:sz w:val="24"/>
          <w:szCs w:val="28"/>
        </w:rPr>
        <w:t>3.5.1 聚焦高质量的教学改革研究</w:t>
      </w:r>
    </w:p>
    <w:p>
      <w:pPr>
        <w:spacing w:line="400" w:lineRule="exact"/>
        <w:ind w:firstLine="480" w:firstLineChars="200"/>
        <w:rPr>
          <w:rFonts w:ascii="宋体" w:hAnsi="宋体" w:cs="宋体"/>
          <w:sz w:val="24"/>
          <w:szCs w:val="24"/>
        </w:rPr>
      </w:pPr>
      <w:r>
        <w:rPr>
          <w:rFonts w:ascii="宋体" w:hAnsi="宋体" w:cs="宋体"/>
          <w:sz w:val="24"/>
          <w:szCs w:val="24"/>
        </w:rPr>
        <w:t>对标高质量本科教育建设，</w:t>
      </w:r>
      <w:r>
        <w:rPr>
          <w:rFonts w:hint="eastAsia" w:ascii="宋体" w:hAnsi="宋体" w:cs="宋体"/>
          <w:sz w:val="24"/>
          <w:szCs w:val="24"/>
        </w:rPr>
        <w:t>我院</w:t>
      </w:r>
      <w:r>
        <w:rPr>
          <w:rFonts w:ascii="宋体" w:hAnsi="宋体" w:cs="宋体"/>
          <w:sz w:val="24"/>
          <w:szCs w:val="24"/>
        </w:rPr>
        <w:t>紧密围绕“四新”背景下医学教育创新发展</w:t>
      </w:r>
      <w:r>
        <w:rPr>
          <w:rFonts w:hint="eastAsia" w:ascii="宋体" w:hAnsi="宋体" w:cs="宋体"/>
          <w:sz w:val="24"/>
          <w:szCs w:val="24"/>
        </w:rPr>
        <w:t>，</w:t>
      </w:r>
      <w:r>
        <w:rPr>
          <w:rFonts w:ascii="宋体" w:hAnsi="宋体" w:cs="宋体"/>
          <w:sz w:val="24"/>
          <w:szCs w:val="24"/>
        </w:rPr>
        <w:t>积极开展各类教育教学改革实践与研究，内容涉及立德树人、专业建设、课程改革、实践教学、师资队伍、产教融合、教学信息化、招生与考试以及质量评估等多个方面。202</w:t>
      </w:r>
      <w:r>
        <w:rPr>
          <w:rFonts w:hint="eastAsia" w:ascii="宋体" w:hAnsi="宋体" w:cs="宋体"/>
          <w:sz w:val="24"/>
          <w:szCs w:val="24"/>
        </w:rPr>
        <w:t>2</w:t>
      </w:r>
      <w:r>
        <w:rPr>
          <w:rFonts w:ascii="宋体" w:hAnsi="宋体" w:cs="宋体"/>
          <w:sz w:val="24"/>
          <w:szCs w:val="24"/>
        </w:rPr>
        <w:t>-202</w:t>
      </w:r>
      <w:r>
        <w:rPr>
          <w:rFonts w:hint="eastAsia" w:ascii="宋体" w:hAnsi="宋体" w:cs="宋体"/>
          <w:sz w:val="24"/>
          <w:szCs w:val="24"/>
        </w:rPr>
        <w:t>3</w:t>
      </w:r>
      <w:r>
        <w:rPr>
          <w:rFonts w:ascii="宋体" w:hAnsi="宋体" w:cs="宋体"/>
          <w:sz w:val="24"/>
          <w:szCs w:val="24"/>
        </w:rPr>
        <w:t>学年，</w:t>
      </w:r>
      <w:r>
        <w:rPr>
          <w:rFonts w:hint="eastAsia" w:ascii="宋体" w:hAnsi="宋体" w:cs="宋体"/>
          <w:sz w:val="24"/>
          <w:szCs w:val="24"/>
        </w:rPr>
        <w:t>获批立项省级“新医科”研究与改革实践项目2项，省级高等教育重大决策部署研究项目1项，省级思想政治理论课教研重大项目1项、重点项目1项，省级教学研究项目重大项目1项、重点项目2项、一般项目6项。</w:t>
      </w:r>
    </w:p>
    <w:p>
      <w:pPr>
        <w:rPr>
          <w:rFonts w:eastAsia="黑体"/>
          <w:b/>
          <w:sz w:val="24"/>
          <w:szCs w:val="28"/>
        </w:rPr>
      </w:pPr>
      <w:r>
        <w:rPr>
          <w:rFonts w:eastAsia="黑体"/>
          <w:b/>
          <w:sz w:val="24"/>
          <w:szCs w:val="28"/>
        </w:rPr>
        <w:t>3.5.2 推进高水平的产教融合建设</w:t>
      </w:r>
    </w:p>
    <w:p>
      <w:pPr>
        <w:spacing w:line="400" w:lineRule="exact"/>
        <w:ind w:firstLine="480" w:firstLineChars="200"/>
        <w:rPr>
          <w:kern w:val="0"/>
          <w:sz w:val="24"/>
          <w:szCs w:val="24"/>
        </w:rPr>
      </w:pPr>
      <w:r>
        <w:rPr>
          <w:rFonts w:hint="eastAsia"/>
          <w:kern w:val="0"/>
          <w:sz w:val="24"/>
          <w:szCs w:val="24"/>
        </w:rPr>
        <w:t>学院</w:t>
      </w:r>
      <w:r>
        <w:rPr>
          <w:kern w:val="0"/>
          <w:sz w:val="24"/>
          <w:szCs w:val="24"/>
        </w:rPr>
        <w:t>通过深入挖掘科技创新和人才集聚的优势，强化产学研用的体系设计，促进教育链、人才链和产业链、创新链有机衔接，助力地方和区域生命健康产业发展。学校加强校企、校地合作，系统设计产教融合路径，以产业学院、实践基地、产学项目等为建设抓手，积极推进高质量的产学系统育人。</w:t>
      </w:r>
      <w:r>
        <w:rPr>
          <w:rFonts w:ascii="宋体" w:hAnsi="宋体" w:cs="宋体"/>
          <w:sz w:val="24"/>
          <w:szCs w:val="24"/>
        </w:rPr>
        <w:t>202</w:t>
      </w:r>
      <w:r>
        <w:rPr>
          <w:rFonts w:hint="eastAsia" w:ascii="宋体" w:hAnsi="宋体" w:cs="宋体"/>
          <w:sz w:val="24"/>
          <w:szCs w:val="24"/>
        </w:rPr>
        <w:t>2</w:t>
      </w:r>
      <w:r>
        <w:rPr>
          <w:rFonts w:ascii="宋体" w:hAnsi="宋体" w:cs="宋体"/>
          <w:sz w:val="24"/>
          <w:szCs w:val="24"/>
        </w:rPr>
        <w:t>-202</w:t>
      </w:r>
      <w:r>
        <w:rPr>
          <w:rFonts w:hint="eastAsia" w:ascii="宋体" w:hAnsi="宋体" w:cs="宋体"/>
          <w:sz w:val="24"/>
          <w:szCs w:val="24"/>
        </w:rPr>
        <w:t>3</w:t>
      </w:r>
      <w:r>
        <w:rPr>
          <w:rFonts w:ascii="宋体" w:hAnsi="宋体" w:cs="宋体"/>
          <w:sz w:val="24"/>
          <w:szCs w:val="24"/>
        </w:rPr>
        <w:t>学年，</w:t>
      </w:r>
      <w:r>
        <w:rPr>
          <w:rFonts w:hint="eastAsia"/>
          <w:kern w:val="0"/>
          <w:sz w:val="24"/>
          <w:szCs w:val="24"/>
        </w:rPr>
        <w:t>省级老年护理产业学院顺利通过阶段性检查，与</w:t>
      </w:r>
      <w:r>
        <w:rPr>
          <w:rFonts w:hint="eastAsia"/>
          <w:kern w:val="0"/>
          <w:sz w:val="24"/>
          <w:szCs w:val="24"/>
          <w:shd w:val="clear" w:color="auto" w:fill="FFFFFF"/>
        </w:rPr>
        <w:t>中科大先进技术研究院合作共建</w:t>
      </w:r>
      <w:r>
        <w:rPr>
          <w:rFonts w:hint="eastAsia"/>
          <w:kern w:val="0"/>
          <w:sz w:val="24"/>
          <w:szCs w:val="24"/>
        </w:rPr>
        <w:t>基因工程药物现代产业学院获批省级产业学院。</w:t>
      </w:r>
    </w:p>
    <w:p>
      <w:pPr>
        <w:rPr>
          <w:rFonts w:eastAsia="黑体"/>
          <w:b/>
          <w:sz w:val="24"/>
          <w:szCs w:val="28"/>
        </w:rPr>
      </w:pPr>
      <w:r>
        <w:rPr>
          <w:rFonts w:eastAsia="黑体"/>
          <w:b/>
          <w:sz w:val="24"/>
          <w:szCs w:val="28"/>
        </w:rPr>
        <w:t>3.5.3 发挥高效能的教学工作机制</w:t>
      </w:r>
    </w:p>
    <w:p>
      <w:pPr>
        <w:spacing w:line="400" w:lineRule="exact"/>
        <w:ind w:firstLine="480" w:firstLineChars="200"/>
        <w:rPr>
          <w:kern w:val="0"/>
          <w:sz w:val="24"/>
          <w:szCs w:val="24"/>
        </w:rPr>
      </w:pPr>
      <w:r>
        <w:rPr>
          <w:rFonts w:hint="eastAsia"/>
          <w:kern w:val="0"/>
          <w:sz w:val="24"/>
          <w:szCs w:val="24"/>
        </w:rPr>
        <w:t>进一步</w:t>
      </w:r>
      <w:r>
        <w:rPr>
          <w:kern w:val="0"/>
          <w:sz w:val="24"/>
          <w:szCs w:val="24"/>
        </w:rPr>
        <w:t>完善制度建设，</w:t>
      </w:r>
      <w:r>
        <w:rPr>
          <w:rFonts w:ascii="宋体" w:hAnsi="宋体" w:cs="宋体"/>
          <w:sz w:val="24"/>
          <w:szCs w:val="24"/>
        </w:rPr>
        <w:t>202</w:t>
      </w:r>
      <w:r>
        <w:rPr>
          <w:rFonts w:hint="eastAsia" w:ascii="宋体" w:hAnsi="宋体" w:cs="宋体"/>
          <w:sz w:val="24"/>
          <w:szCs w:val="24"/>
        </w:rPr>
        <w:t>2</w:t>
      </w:r>
      <w:r>
        <w:rPr>
          <w:rFonts w:ascii="宋体" w:hAnsi="宋体" w:cs="宋体"/>
          <w:sz w:val="24"/>
          <w:szCs w:val="24"/>
        </w:rPr>
        <w:t>-202</w:t>
      </w:r>
      <w:r>
        <w:rPr>
          <w:rFonts w:hint="eastAsia" w:ascii="宋体" w:hAnsi="宋体" w:cs="宋体"/>
          <w:sz w:val="24"/>
          <w:szCs w:val="24"/>
        </w:rPr>
        <w:t>3</w:t>
      </w:r>
      <w:r>
        <w:rPr>
          <w:rFonts w:ascii="宋体" w:hAnsi="宋体" w:cs="宋体"/>
          <w:sz w:val="24"/>
          <w:szCs w:val="24"/>
        </w:rPr>
        <w:t>学年</w:t>
      </w:r>
      <w:r>
        <w:rPr>
          <w:rFonts w:hint="eastAsia" w:ascii="宋体" w:hAnsi="宋体" w:cs="宋体"/>
          <w:sz w:val="24"/>
          <w:szCs w:val="24"/>
        </w:rPr>
        <w:t>我院</w:t>
      </w:r>
      <w:r>
        <w:rPr>
          <w:kern w:val="0"/>
          <w:sz w:val="24"/>
          <w:szCs w:val="24"/>
        </w:rPr>
        <w:t>修订了《</w:t>
      </w:r>
      <w:r>
        <w:rPr>
          <w:rFonts w:ascii="宋体" w:hAnsi="宋体" w:cs="宋体"/>
          <w:sz w:val="24"/>
          <w:szCs w:val="24"/>
        </w:rPr>
        <w:t>安徽医科大学临床医学院教研室集体备课管理办法</w:t>
      </w:r>
      <w:r>
        <w:rPr>
          <w:kern w:val="0"/>
          <w:sz w:val="24"/>
          <w:szCs w:val="24"/>
        </w:rPr>
        <w:t>》</w:t>
      </w:r>
      <w:r>
        <w:rPr>
          <w:rFonts w:hint="eastAsia"/>
          <w:kern w:val="0"/>
          <w:sz w:val="24"/>
          <w:szCs w:val="24"/>
        </w:rPr>
        <w:t>《</w:t>
      </w:r>
      <w:r>
        <w:rPr>
          <w:rFonts w:ascii="宋体" w:hAnsi="宋体" w:cs="宋体"/>
          <w:sz w:val="24"/>
          <w:szCs w:val="24"/>
        </w:rPr>
        <w:t>安徽医科大学临床医学院教师试讲管理办法</w:t>
      </w:r>
      <w:r>
        <w:rPr>
          <w:rFonts w:hint="eastAsia"/>
          <w:kern w:val="0"/>
          <w:sz w:val="24"/>
          <w:szCs w:val="24"/>
        </w:rPr>
        <w:t>》《</w:t>
      </w:r>
      <w:r>
        <w:rPr>
          <w:rFonts w:ascii="宋体" w:hAnsi="宋体" w:cs="宋体"/>
          <w:sz w:val="24"/>
          <w:szCs w:val="24"/>
        </w:rPr>
        <w:t>安徽医科大学临床医学院通识选修课程管理暂行办法</w:t>
      </w:r>
      <w:r>
        <w:rPr>
          <w:rFonts w:hint="eastAsia"/>
          <w:kern w:val="0"/>
          <w:sz w:val="24"/>
          <w:szCs w:val="24"/>
        </w:rPr>
        <w:t>》《</w:t>
      </w:r>
      <w:r>
        <w:rPr>
          <w:rFonts w:ascii="宋体" w:hAnsi="宋体" w:cs="宋体"/>
          <w:sz w:val="24"/>
          <w:szCs w:val="24"/>
        </w:rPr>
        <w:t>安徽医科大学临床医学院“最受学生欢迎教师”评选办法</w:t>
      </w:r>
      <w:r>
        <w:rPr>
          <w:rFonts w:hint="eastAsia"/>
          <w:kern w:val="0"/>
          <w:sz w:val="24"/>
          <w:szCs w:val="24"/>
        </w:rPr>
        <w:t>》《</w:t>
      </w:r>
      <w:r>
        <w:rPr>
          <w:rFonts w:ascii="宋体" w:hAnsi="宋体" w:cs="宋体"/>
          <w:sz w:val="24"/>
          <w:szCs w:val="24"/>
        </w:rPr>
        <w:t>安徽医科大学临床医学院教材建设与选用管理办法</w:t>
      </w:r>
      <w:r>
        <w:rPr>
          <w:rFonts w:hint="eastAsia"/>
          <w:kern w:val="0"/>
          <w:sz w:val="24"/>
          <w:szCs w:val="24"/>
        </w:rPr>
        <w:t>》《</w:t>
      </w:r>
      <w:r>
        <w:rPr>
          <w:rFonts w:ascii="宋体" w:hAnsi="宋体" w:cs="宋体"/>
          <w:sz w:val="24"/>
          <w:szCs w:val="24"/>
        </w:rPr>
        <w:t>安徽医科大学临床医学院外聘教师管理办法</w:t>
      </w:r>
      <w:r>
        <w:rPr>
          <w:rFonts w:hint="eastAsia"/>
          <w:kern w:val="0"/>
          <w:sz w:val="24"/>
          <w:szCs w:val="24"/>
        </w:rPr>
        <w:t>》</w:t>
      </w:r>
      <w:r>
        <w:rPr>
          <w:kern w:val="0"/>
          <w:sz w:val="24"/>
          <w:szCs w:val="24"/>
        </w:rPr>
        <w:t>《安徽医科大学临床医学院实验室开放管理办法》等制度，落实立德树人根本任务，进一步强化本科教学的中心地位。</w:t>
      </w:r>
      <w:r>
        <w:rPr>
          <w:rFonts w:hint="eastAsia"/>
          <w:kern w:val="0"/>
          <w:sz w:val="24"/>
          <w:szCs w:val="24"/>
        </w:rPr>
        <w:t>开展“最受欢迎教师”“优秀实习指导教师”评选工作，</w:t>
      </w:r>
      <w:r>
        <w:rPr>
          <w:kern w:val="0"/>
          <w:sz w:val="24"/>
          <w:szCs w:val="24"/>
        </w:rPr>
        <w:t>强化激励引导，加大本科教学建设的支持力度。</w:t>
      </w:r>
      <w:bookmarkEnd w:id="102"/>
      <w:bookmarkEnd w:id="103"/>
      <w:bookmarkEnd w:id="104"/>
      <w:bookmarkEnd w:id="105"/>
      <w:bookmarkEnd w:id="106"/>
      <w:bookmarkEnd w:id="107"/>
      <w:bookmarkStart w:id="109" w:name="_Toc21380"/>
      <w:bookmarkStart w:id="110" w:name="_Toc4526"/>
      <w:bookmarkStart w:id="111" w:name="_Toc9676"/>
      <w:bookmarkStart w:id="112" w:name="_Toc32765"/>
      <w:bookmarkStart w:id="113" w:name="_Toc20397"/>
      <w:bookmarkStart w:id="114" w:name="_Toc27732526"/>
    </w:p>
    <w:p>
      <w:pPr>
        <w:pStyle w:val="3"/>
        <w:spacing w:before="0" w:after="0" w:line="240" w:lineRule="auto"/>
        <w:rPr>
          <w:rFonts w:ascii="Times New Roman" w:hAnsi="Times New Roman" w:eastAsia="黑体"/>
          <w:sz w:val="28"/>
          <w:szCs w:val="28"/>
        </w:rPr>
      </w:pPr>
      <w:bookmarkStart w:id="115" w:name="_Toc23949"/>
      <w:r>
        <w:rPr>
          <w:rFonts w:ascii="Times New Roman" w:hAnsi="Times New Roman" w:eastAsia="黑体"/>
          <w:sz w:val="28"/>
          <w:szCs w:val="28"/>
        </w:rPr>
        <w:t>3.6创新创业教育</w:t>
      </w:r>
      <w:bookmarkEnd w:id="115"/>
    </w:p>
    <w:bookmarkEnd w:id="109"/>
    <w:bookmarkEnd w:id="110"/>
    <w:bookmarkEnd w:id="111"/>
    <w:bookmarkEnd w:id="112"/>
    <w:bookmarkEnd w:id="113"/>
    <w:p>
      <w:pPr>
        <w:spacing w:line="400" w:lineRule="exact"/>
        <w:ind w:firstLine="480" w:firstLineChars="200"/>
        <w:rPr>
          <w:rFonts w:ascii="宋体" w:hAnsi="宋体" w:cs="宋体"/>
          <w:sz w:val="24"/>
          <w:szCs w:val="24"/>
        </w:rPr>
      </w:pPr>
      <w:bookmarkStart w:id="116" w:name="_Toc22129"/>
      <w:bookmarkStart w:id="117" w:name="_Toc12872"/>
      <w:bookmarkStart w:id="118" w:name="_Toc8878"/>
      <w:bookmarkStart w:id="119" w:name="_Toc17581"/>
      <w:bookmarkStart w:id="120" w:name="_Toc7665"/>
      <w:bookmarkStart w:id="121" w:name="_Toc27732530"/>
      <w:r>
        <w:rPr>
          <w:rFonts w:hint="eastAsia"/>
          <w:sz w:val="24"/>
          <w:szCs w:val="24"/>
        </w:rPr>
        <w:t>学院坚持以习近平新时代中国特色社会主义思想为指导，落实立德树人根本任务，全面推动创新创业教育改革，</w:t>
      </w:r>
      <w:r>
        <w:rPr>
          <w:rFonts w:ascii="宋体" w:hAnsi="宋体" w:cs="宋体"/>
          <w:sz w:val="24"/>
          <w:szCs w:val="24"/>
        </w:rPr>
        <w:t>把创新创业教育纳入人才培养方案，</w:t>
      </w:r>
      <w:r>
        <w:rPr>
          <w:rFonts w:hint="eastAsia" w:ascii="宋体" w:hAnsi="宋体" w:cs="宋体"/>
          <w:sz w:val="24"/>
          <w:szCs w:val="24"/>
        </w:rPr>
        <w:t>设立校级创新创业基地，</w:t>
      </w:r>
      <w:r>
        <w:rPr>
          <w:rFonts w:ascii="宋体" w:hAnsi="宋体" w:cs="宋体"/>
          <w:sz w:val="24"/>
          <w:szCs w:val="24"/>
        </w:rPr>
        <w:t>通过师资建设、课程建设、平台建设、校企协同、校地联合，有效整合校内、校外优质资源，培养学生创新精神、创业意识和创新创业能力，</w:t>
      </w:r>
      <w:r>
        <w:rPr>
          <w:rFonts w:hint="eastAsia" w:ascii="宋体" w:hAnsi="宋体" w:cs="宋体"/>
          <w:sz w:val="24"/>
          <w:szCs w:val="24"/>
        </w:rPr>
        <w:t>扎实推进创新创业教育工作，育人成效显著。</w:t>
      </w:r>
    </w:p>
    <w:p>
      <w:pPr>
        <w:pStyle w:val="19"/>
        <w:spacing w:before="0" w:beforeAutospacing="0" w:after="0" w:afterAutospacing="0"/>
        <w:jc w:val="both"/>
        <w:rPr>
          <w:rFonts w:ascii="Times New Roman" w:hAnsi="Times New Roman" w:eastAsia="黑体" w:cs="Times New Roman"/>
          <w:b/>
          <w:kern w:val="2"/>
          <w:szCs w:val="28"/>
        </w:rPr>
      </w:pPr>
      <w:r>
        <w:rPr>
          <w:rFonts w:hint="eastAsia" w:ascii="Times New Roman" w:hAnsi="Times New Roman" w:eastAsia="黑体" w:cs="Times New Roman"/>
          <w:b/>
          <w:szCs w:val="28"/>
        </w:rPr>
        <w:t>3.6.1</w:t>
      </w:r>
      <w:r>
        <w:rPr>
          <w:rFonts w:hint="eastAsia" w:ascii="Times New Roman" w:hAnsi="Times New Roman" w:eastAsia="黑体" w:cs="Times New Roman"/>
          <w:b/>
          <w:kern w:val="2"/>
          <w:szCs w:val="28"/>
        </w:rPr>
        <w:t>顶层设计、协同培养，建立“五个协同”创新创业体制机制</w:t>
      </w:r>
    </w:p>
    <w:p>
      <w:pPr>
        <w:spacing w:line="400" w:lineRule="exact"/>
        <w:ind w:firstLine="480" w:firstLineChars="200"/>
        <w:rPr>
          <w:rFonts w:ascii="宋体" w:hAnsi="宋体" w:cs="宋体"/>
          <w:sz w:val="24"/>
          <w:szCs w:val="24"/>
        </w:rPr>
      </w:pPr>
      <w:r>
        <w:rPr>
          <w:rFonts w:ascii="宋体" w:hAnsi="宋体" w:cs="宋体"/>
          <w:sz w:val="24"/>
          <w:szCs w:val="24"/>
        </w:rPr>
        <w:t>健全创新创业教育工作管理机制，完善组织架构、明确职责分工，有序推进各协同部门、各系部创新创业工作，提升学院创新创业工作整体水平。学</w:t>
      </w:r>
      <w:r>
        <w:rPr>
          <w:rFonts w:hint="eastAsia" w:ascii="宋体" w:hAnsi="宋体" w:cs="宋体"/>
          <w:sz w:val="24"/>
          <w:szCs w:val="24"/>
        </w:rPr>
        <w:t>院建立了“实践与思政协同、创新与创业协同、教学与科研协同、部门与系部协同、校内与校外协同”的创新创业教育一体化机制，形成了“学校统一领导、部门统筹协调、教师积极参与、学生踊跃参加”的创新创业文化。</w:t>
      </w:r>
    </w:p>
    <w:p>
      <w:pPr>
        <w:pStyle w:val="19"/>
        <w:spacing w:before="0" w:beforeAutospacing="0" w:after="0" w:afterAutospacing="0"/>
        <w:jc w:val="both"/>
        <w:rPr>
          <w:rFonts w:ascii="Times New Roman" w:hAnsi="Times New Roman" w:eastAsia="黑体" w:cs="Times New Roman"/>
          <w:b/>
          <w:kern w:val="2"/>
          <w:szCs w:val="28"/>
        </w:rPr>
      </w:pPr>
      <w:r>
        <w:rPr>
          <w:rFonts w:hint="eastAsia" w:ascii="Times New Roman" w:hAnsi="Times New Roman" w:eastAsia="黑体" w:cs="Times New Roman"/>
          <w:b/>
          <w:kern w:val="2"/>
          <w:szCs w:val="28"/>
        </w:rPr>
        <w:t>3.6.2全面覆盖、分类施教，构建“五个融入”创新创业教育体系</w:t>
      </w:r>
    </w:p>
    <w:p>
      <w:pPr>
        <w:spacing w:line="400" w:lineRule="exact"/>
        <w:ind w:firstLine="480" w:firstLineChars="200"/>
        <w:rPr>
          <w:rFonts w:ascii="宋体" w:hAnsi="宋体" w:cs="宋体"/>
          <w:sz w:val="24"/>
          <w:szCs w:val="24"/>
        </w:rPr>
      </w:pPr>
      <w:r>
        <w:rPr>
          <w:rFonts w:hint="eastAsia" w:ascii="宋体" w:hAnsi="宋体" w:cs="宋体"/>
          <w:sz w:val="24"/>
          <w:szCs w:val="24"/>
        </w:rPr>
        <w:t>将创新创业教育融入人才培养全过程，结合“新医科”建设，构建创新创业教育“融入培养方案、融入课程建设、融入课堂教学、融入课外实践、融入学生发展评价体系”的创新创业教育体系。学院开展创新创业教育课程累计84学时，由39名教师讲授。通过线上线下相结合的形式分别在每学年各学期开设相关课程，第一学期主要集中为依托智慧树平台开展《大学生创新创业指导》、《医学生创新创业基础》课程，及线下讲授《创新教育与创业基础》，第二学期在通过智慧树开展《医学生创新创业基础》、《创新学》、《创新创业：思维、方法与能力》的同时，还开设《创新教育与创业基础（一）》、《创新教育与创业基础（二）》，提高学生创新思维和实践技能。</w:t>
      </w:r>
    </w:p>
    <w:p>
      <w:pPr>
        <w:pStyle w:val="19"/>
        <w:spacing w:before="0" w:beforeAutospacing="0" w:after="0" w:afterAutospacing="0"/>
        <w:jc w:val="both"/>
        <w:rPr>
          <w:rFonts w:ascii="Times New Roman" w:hAnsi="Times New Roman" w:eastAsia="黑体" w:cs="Times New Roman"/>
          <w:b/>
          <w:kern w:val="2"/>
          <w:szCs w:val="28"/>
        </w:rPr>
      </w:pPr>
      <w:r>
        <w:rPr>
          <w:rFonts w:hint="eastAsia" w:ascii="Times New Roman" w:hAnsi="Times New Roman" w:eastAsia="黑体" w:cs="Times New Roman"/>
          <w:b/>
          <w:kern w:val="2"/>
          <w:szCs w:val="28"/>
        </w:rPr>
        <w:t>3.6.3系统集成、协同高效，整合“五位一体”创新创业教育资源</w:t>
      </w:r>
    </w:p>
    <w:p>
      <w:pPr>
        <w:pStyle w:val="19"/>
        <w:spacing w:before="0" w:beforeAutospacing="0" w:after="0" w:afterAutospacing="0" w:line="400" w:lineRule="exact"/>
        <w:ind w:firstLine="480" w:firstLineChars="200"/>
        <w:jc w:val="both"/>
        <w:rPr>
          <w:rFonts w:ascii="Times New Roman" w:hAnsi="Times New Roman" w:cs="Times New Roman"/>
        </w:rPr>
      </w:pPr>
      <w:r>
        <w:rPr>
          <w:rFonts w:hint="eastAsia" w:ascii="Times New Roman" w:hAnsi="Times New Roman" w:cs="Times New Roman"/>
          <w:kern w:val="2"/>
        </w:rPr>
        <w:t>全面统筹校内外创新创业教育资源，形成“实践教学、双创训练、指导服务、资源对接、孵化转化”五位一体工作机制，汇聚各类政策、场地、人力、资本等资源，建设实习实践与创新创业导师团队，强化区域内创新创业教育资源互促互补。</w:t>
      </w:r>
    </w:p>
    <w:p>
      <w:pPr>
        <w:rPr>
          <w:rFonts w:eastAsia="黑体"/>
          <w:b/>
          <w:sz w:val="24"/>
          <w:szCs w:val="28"/>
        </w:rPr>
      </w:pPr>
      <w:r>
        <w:rPr>
          <w:rFonts w:hint="eastAsia" w:eastAsia="黑体"/>
          <w:b/>
          <w:sz w:val="24"/>
          <w:szCs w:val="28"/>
        </w:rPr>
        <w:t>3.6.4以赛促学、统筹推进，“双创工作”迈向新台阶</w:t>
      </w:r>
    </w:p>
    <w:p>
      <w:pPr>
        <w:spacing w:line="400" w:lineRule="exact"/>
        <w:ind w:firstLine="480" w:firstLineChars="200"/>
        <w:rPr>
          <w:sz w:val="24"/>
          <w:szCs w:val="24"/>
        </w:rPr>
      </w:pPr>
      <w:r>
        <w:rPr>
          <w:rFonts w:hint="eastAsia"/>
          <w:sz w:val="24"/>
          <w:szCs w:val="24"/>
        </w:rPr>
        <w:t>秉承“以赛促学，以赛促教，以赛促创”的工作理念，充分把握学科竞赛对促进创新型人才培养的重要作用，以大赛为龙头，抓重点、强实效，积极推动相关创新创业类、学科类竞赛开展。学院先后组织开展“挑战杯”大学生创业计划竞赛、第八届安徽省“互联网+”大学生创新创业大赛、第十三届安徽省百所高校百万大学生科普创意创新大赛及第十六届大学生职业规划设计大赛校级赛，并推报优秀作品参加省赛，累计报名参赛153个项目，同比2021年全年增长143%，最终推选32个项目参加省赛。最终“挑战杯”“互联网+”获省级银奖3项、铜奖14项，第十三届安徽省双百大赛获得二等奖1项、三等奖2项、优秀奖2项，第十六届大学生职业规划设计大赛获二等奖。</w:t>
      </w:r>
      <w:r>
        <w:rPr>
          <w:rFonts w:hint="eastAsia" w:ascii="宋体" w:hAnsi="宋体" w:cs="宋体"/>
          <w:sz w:val="24"/>
          <w:szCs w:val="24"/>
        </w:rPr>
        <w:t>2023年在中国长三角啦啦操挑战赛中荣获国家级冠军，在全国啦啦操联赛中荣获省级冠军，</w:t>
      </w:r>
      <w:r>
        <w:rPr>
          <w:rFonts w:ascii="宋体" w:hAnsi="宋体" w:cs="宋体"/>
          <w:sz w:val="24"/>
          <w:szCs w:val="24"/>
        </w:rPr>
        <w:t>在第二十五届全国大学生英语竞赛中</w:t>
      </w:r>
      <w:r>
        <w:rPr>
          <w:rFonts w:hint="eastAsia" w:ascii="宋体" w:hAnsi="宋体" w:cs="宋体"/>
          <w:sz w:val="24"/>
          <w:szCs w:val="24"/>
        </w:rPr>
        <w:t>有</w:t>
      </w:r>
      <w:r>
        <w:rPr>
          <w:rFonts w:ascii="宋体" w:hAnsi="宋体" w:cs="宋体"/>
          <w:sz w:val="24"/>
          <w:szCs w:val="24"/>
        </w:rPr>
        <w:t>2名学生荣获一等奖、10名学生荣获二等奖、16名荣获三等奖</w:t>
      </w:r>
      <w:r>
        <w:rPr>
          <w:rFonts w:hint="eastAsia" w:ascii="宋体" w:hAnsi="宋体" w:cs="宋体"/>
          <w:sz w:val="24"/>
          <w:szCs w:val="24"/>
        </w:rPr>
        <w:t>，</w:t>
      </w:r>
      <w:r>
        <w:rPr>
          <w:rFonts w:ascii="宋体" w:hAnsi="宋体" w:cs="宋体"/>
          <w:sz w:val="24"/>
          <w:szCs w:val="24"/>
        </w:rPr>
        <w:t>在第六届“讯飞杯”英语大赛中</w:t>
      </w:r>
      <w:r>
        <w:rPr>
          <w:rFonts w:hint="eastAsia" w:ascii="宋体" w:hAnsi="宋体" w:cs="宋体"/>
          <w:sz w:val="24"/>
          <w:szCs w:val="24"/>
        </w:rPr>
        <w:t>有</w:t>
      </w:r>
      <w:r>
        <w:rPr>
          <w:rFonts w:ascii="宋体" w:hAnsi="宋体" w:cs="宋体"/>
          <w:sz w:val="24"/>
          <w:szCs w:val="24"/>
        </w:rPr>
        <w:t>2名学生荣获一等奖，2名学生荣获三等奖</w:t>
      </w:r>
      <w:r>
        <w:rPr>
          <w:rFonts w:hint="eastAsia" w:ascii="宋体" w:hAnsi="宋体" w:cs="宋体"/>
          <w:sz w:val="24"/>
          <w:szCs w:val="24"/>
        </w:rPr>
        <w:t>，</w:t>
      </w:r>
      <w:r>
        <w:rPr>
          <w:rFonts w:ascii="宋体" w:hAnsi="宋体" w:cs="宋体"/>
          <w:sz w:val="24"/>
          <w:szCs w:val="24"/>
        </w:rPr>
        <w:t>在第四届“伊利康杯”华东六省一市高等院校医学检验技术专业技能大赛中，荣获团体三等奖、单项金奖1项；在全国大学生数学建模竞赛中，2支参赛队伍荣获徽赛区本科组三等奖。</w:t>
      </w:r>
    </w:p>
    <w:p>
      <w:pPr>
        <w:spacing w:line="400" w:lineRule="exact"/>
        <w:ind w:firstLine="480" w:firstLineChars="200"/>
      </w:pPr>
      <w:r>
        <w:rPr>
          <w:rFonts w:hint="eastAsia"/>
          <w:sz w:val="24"/>
          <w:szCs w:val="24"/>
        </w:rPr>
        <w:t>同时，助力青年大学生就业创业，遴选2名优秀团员参与省级“扬帆计划”。2022-2023学年获批立项国家级大学生创新创业项6项，省级大学生创新创业项目18项。</w:t>
      </w:r>
    </w:p>
    <w:p>
      <w:pPr>
        <w:rPr>
          <w:rStyle w:val="28"/>
          <w:rFonts w:eastAsia="黑体"/>
          <w:sz w:val="30"/>
          <w:szCs w:val="30"/>
        </w:rPr>
      </w:pPr>
      <w:bookmarkStart w:id="122" w:name="_Toc29513"/>
      <w:r>
        <w:rPr>
          <w:rStyle w:val="28"/>
          <w:rFonts w:eastAsia="黑体"/>
          <w:sz w:val="30"/>
          <w:szCs w:val="30"/>
        </w:rPr>
        <w:t>四、专业培养能力</w:t>
      </w:r>
      <w:bookmarkEnd w:id="116"/>
      <w:bookmarkEnd w:id="117"/>
      <w:bookmarkEnd w:id="118"/>
      <w:bookmarkEnd w:id="119"/>
      <w:bookmarkEnd w:id="120"/>
    </w:p>
    <w:bookmarkEnd w:id="114"/>
    <w:bookmarkEnd w:id="121"/>
    <w:bookmarkEnd w:id="122"/>
    <w:p>
      <w:pPr>
        <w:pStyle w:val="3"/>
        <w:spacing w:before="0" w:after="0" w:line="240" w:lineRule="auto"/>
        <w:rPr>
          <w:rFonts w:ascii="Times New Roman" w:hAnsi="Times New Roman" w:eastAsia="黑体"/>
          <w:sz w:val="28"/>
          <w:szCs w:val="28"/>
          <w:lang w:eastAsia="zh-Hans"/>
        </w:rPr>
      </w:pPr>
      <w:bookmarkStart w:id="123" w:name="_Toc12123"/>
      <w:bookmarkStart w:id="124" w:name="_Toc27732540"/>
      <w:r>
        <w:rPr>
          <w:rFonts w:ascii="Times New Roman" w:hAnsi="Times New Roman" w:eastAsia="黑体"/>
          <w:sz w:val="28"/>
          <w:szCs w:val="28"/>
          <w:lang w:eastAsia="zh-Hans"/>
        </w:rPr>
        <w:t>4.1明确</w:t>
      </w:r>
      <w:r>
        <w:rPr>
          <w:rFonts w:hint="eastAsia" w:ascii="Times New Roman" w:hAnsi="Times New Roman" w:eastAsia="黑体"/>
          <w:sz w:val="28"/>
          <w:szCs w:val="28"/>
        </w:rPr>
        <w:t>医学教育</w:t>
      </w:r>
      <w:r>
        <w:rPr>
          <w:rFonts w:ascii="Times New Roman" w:hAnsi="Times New Roman" w:eastAsia="黑体"/>
          <w:sz w:val="28"/>
          <w:szCs w:val="28"/>
          <w:lang w:eastAsia="zh-Hans"/>
        </w:rPr>
        <w:t>新要求</w:t>
      </w:r>
      <w:bookmarkEnd w:id="123"/>
    </w:p>
    <w:p>
      <w:pPr>
        <w:spacing w:line="400" w:lineRule="exact"/>
        <w:ind w:firstLine="480" w:firstLineChars="200"/>
        <w:rPr>
          <w:sz w:val="24"/>
          <w:szCs w:val="24"/>
        </w:rPr>
      </w:pPr>
      <w:r>
        <w:rPr>
          <w:rFonts w:hint="eastAsia"/>
          <w:sz w:val="24"/>
          <w:szCs w:val="24"/>
        </w:rPr>
        <w:t>各专业人才培养紧密对接区域医疗行业和健康产业发展需求，围绕服务安徽省十大新兴产业，以岗位胜任力为导向，提升临床实践能力，优化培养方案，更新教学内容，将“大智移云物”等新技术、新业态在医疗健康领域的新应用融入课程和教学内容，提升专业人才培养的综合能力和综合素质。</w:t>
      </w:r>
    </w:p>
    <w:p>
      <w:pPr>
        <w:pStyle w:val="3"/>
        <w:spacing w:before="0" w:after="0" w:line="240" w:lineRule="auto"/>
        <w:rPr>
          <w:rFonts w:ascii="Times New Roman" w:hAnsi="Times New Roman" w:eastAsia="黑体"/>
          <w:sz w:val="28"/>
          <w:szCs w:val="28"/>
          <w:lang w:eastAsia="zh-Hans"/>
        </w:rPr>
      </w:pPr>
      <w:bookmarkStart w:id="125" w:name="_Toc13696"/>
      <w:r>
        <w:rPr>
          <w:rFonts w:ascii="Times New Roman" w:hAnsi="Times New Roman" w:eastAsia="黑体"/>
          <w:sz w:val="28"/>
          <w:szCs w:val="28"/>
        </w:rPr>
        <w:t>4.2挖掘教书育人新活力</w:t>
      </w:r>
      <w:bookmarkEnd w:id="125"/>
    </w:p>
    <w:p>
      <w:pPr>
        <w:pStyle w:val="19"/>
        <w:shd w:val="clear" w:color="auto" w:fill="FFFFFF"/>
        <w:spacing w:before="0" w:beforeAutospacing="0" w:after="0" w:afterAutospacing="0" w:line="400" w:lineRule="exact"/>
        <w:ind w:firstLine="480" w:firstLineChars="200"/>
        <w:jc w:val="both"/>
        <w:rPr>
          <w:rFonts w:ascii="Times New Roman" w:hAnsi="Times New Roman" w:cs="Times New Roman"/>
        </w:rPr>
      </w:pPr>
      <w:r>
        <w:rPr>
          <w:rFonts w:ascii="Times New Roman" w:hAnsi="Times New Roman" w:cs="Times New Roman"/>
        </w:rPr>
        <w:t>学校坚持落实立德树人根本任务，通过重培育、树标杆、促发展，激发广大教师的教学创造活力和教学热情。强化基层教学组织建设，学校通过开设公开示范课、教学</w:t>
      </w:r>
      <w:r>
        <w:rPr>
          <w:rFonts w:hint="eastAsia" w:ascii="Times New Roman" w:hAnsi="Times New Roman" w:cs="Times New Roman"/>
        </w:rPr>
        <w:t>研讨</w:t>
      </w:r>
      <w:r>
        <w:rPr>
          <w:rFonts w:ascii="Times New Roman" w:hAnsi="Times New Roman" w:cs="Times New Roman"/>
        </w:rPr>
        <w:t>、</w:t>
      </w:r>
      <w:r>
        <w:rPr>
          <w:rFonts w:hint="eastAsia" w:ascii="Times New Roman" w:hAnsi="Times New Roman" w:cs="Times New Roman"/>
        </w:rPr>
        <w:t>课堂</w:t>
      </w:r>
      <w:r>
        <w:rPr>
          <w:rFonts w:ascii="Times New Roman" w:hAnsi="Times New Roman" w:cs="Times New Roman"/>
        </w:rPr>
        <w:t>教学</w:t>
      </w:r>
      <w:r>
        <w:rPr>
          <w:rFonts w:hint="eastAsia" w:ascii="Times New Roman" w:hAnsi="Times New Roman" w:cs="Times New Roman"/>
        </w:rPr>
        <w:t>能力竞赛</w:t>
      </w:r>
      <w:r>
        <w:rPr>
          <w:rFonts w:ascii="Times New Roman" w:hAnsi="Times New Roman" w:cs="Times New Roman"/>
        </w:rPr>
        <w:t>等教研活动，营造浓厚的教学研究与改革创新氛围，为高质量临床医学教育发展提供坚实保障。</w:t>
      </w:r>
    </w:p>
    <w:p>
      <w:pPr>
        <w:pStyle w:val="3"/>
        <w:spacing w:before="0" w:after="0" w:line="240" w:lineRule="auto"/>
        <w:rPr>
          <w:rFonts w:ascii="Times New Roman" w:hAnsi="Times New Roman" w:eastAsia="黑体"/>
          <w:sz w:val="28"/>
          <w:szCs w:val="28"/>
        </w:rPr>
      </w:pPr>
      <w:bookmarkStart w:id="126" w:name="_Toc7535"/>
      <w:r>
        <w:rPr>
          <w:rFonts w:ascii="Times New Roman" w:hAnsi="Times New Roman" w:eastAsia="黑体"/>
          <w:sz w:val="28"/>
          <w:szCs w:val="28"/>
          <w:lang w:eastAsia="zh-Hans"/>
        </w:rPr>
        <w:t>4.</w:t>
      </w:r>
      <w:r>
        <w:rPr>
          <w:rFonts w:ascii="Times New Roman" w:hAnsi="Times New Roman" w:eastAsia="黑体"/>
          <w:sz w:val="28"/>
          <w:szCs w:val="28"/>
        </w:rPr>
        <w:t>3</w:t>
      </w:r>
      <w:r>
        <w:rPr>
          <w:rFonts w:hint="eastAsia" w:ascii="Times New Roman" w:hAnsi="Times New Roman" w:eastAsia="黑体"/>
          <w:sz w:val="28"/>
          <w:szCs w:val="28"/>
        </w:rPr>
        <w:t xml:space="preserve"> 优化学科专业新布局</w:t>
      </w:r>
      <w:bookmarkEnd w:id="126"/>
    </w:p>
    <w:p>
      <w:pPr>
        <w:pStyle w:val="19"/>
        <w:shd w:val="clear" w:color="auto" w:fill="FFFFFF"/>
        <w:spacing w:before="0" w:beforeAutospacing="0" w:after="0" w:afterAutospacing="0" w:line="400" w:lineRule="exact"/>
        <w:ind w:firstLine="480" w:firstLineChars="200"/>
        <w:jc w:val="both"/>
        <w:rPr>
          <w:rFonts w:ascii="Times New Roman" w:hAnsi="Times New Roman" w:cs="Times New Roman"/>
        </w:rPr>
      </w:pPr>
      <w:r>
        <w:rPr>
          <w:rFonts w:hint="eastAsia" w:ascii="Times New Roman" w:hAnsi="Times New Roman" w:cs="Times New Roman"/>
        </w:rPr>
        <w:t>深入贯彻落实省政府66号文，调整优化学科专业结构，</w:t>
      </w:r>
      <w:r>
        <w:rPr>
          <w:rFonts w:ascii="Times New Roman" w:hAnsi="Times New Roman" w:cs="Times New Roman"/>
        </w:rPr>
        <w:t>学院</w:t>
      </w:r>
      <w:r>
        <w:rPr>
          <w:rFonts w:hint="eastAsia" w:ascii="Times New Roman" w:hAnsi="Times New Roman" w:cs="Times New Roman"/>
        </w:rPr>
        <w:t>现</w:t>
      </w:r>
      <w:r>
        <w:rPr>
          <w:rFonts w:ascii="Times New Roman" w:hAnsi="Times New Roman" w:cs="Times New Roman"/>
        </w:rPr>
        <w:t>有15个</w:t>
      </w:r>
      <w:r>
        <w:rPr>
          <w:rFonts w:hint="eastAsia" w:ascii="Times New Roman" w:hAnsi="Times New Roman" w:cs="Times New Roman"/>
        </w:rPr>
        <w:t>本科专业，服务十大新兴产业学科专业占比高达100%。</w:t>
      </w:r>
      <w:r>
        <w:rPr>
          <w:rFonts w:ascii="Times New Roman" w:hAnsi="Times New Roman" w:cs="Times New Roman"/>
        </w:rPr>
        <w:t>近三年新增专业</w:t>
      </w:r>
      <w:r>
        <w:rPr>
          <w:rFonts w:hint="eastAsia" w:ascii="Times New Roman" w:hAnsi="Times New Roman" w:cs="Times New Roman"/>
        </w:rPr>
        <w:t>100%</w:t>
      </w:r>
      <w:r>
        <w:rPr>
          <w:rFonts w:ascii="Times New Roman" w:hAnsi="Times New Roman" w:cs="Times New Roman"/>
        </w:rPr>
        <w:t>为</w:t>
      </w:r>
      <w:r>
        <w:rPr>
          <w:rFonts w:hint="eastAsia" w:ascii="Times New Roman" w:hAnsi="Times New Roman" w:cs="Times New Roman"/>
        </w:rPr>
        <w:t>新兴产业相关专业，理工科专业数占专业总数近86%，学科专业结构更加切合社会发展需求；</w:t>
      </w:r>
      <w:r>
        <w:rPr>
          <w:rFonts w:ascii="Times New Roman" w:hAnsi="Times New Roman" w:cs="Times New Roman"/>
        </w:rPr>
        <w:t>近三年新增专业</w:t>
      </w:r>
      <w:r>
        <w:rPr>
          <w:rFonts w:hint="eastAsia" w:ascii="Times New Roman" w:hAnsi="Times New Roman" w:cs="Times New Roman"/>
        </w:rPr>
        <w:t>招生计划</w:t>
      </w:r>
      <w:r>
        <w:rPr>
          <w:rFonts w:ascii="Times New Roman" w:hAnsi="Times New Roman" w:cs="Times New Roman"/>
        </w:rPr>
        <w:t>90%</w:t>
      </w:r>
      <w:r>
        <w:rPr>
          <w:rFonts w:hint="eastAsia" w:ascii="Times New Roman" w:hAnsi="Times New Roman" w:cs="Times New Roman"/>
        </w:rPr>
        <w:t>面向安徽省</w:t>
      </w:r>
      <w:r>
        <w:rPr>
          <w:rFonts w:ascii="Times New Roman" w:hAnsi="Times New Roman" w:cs="Times New Roman"/>
        </w:rPr>
        <w:t>招生</w:t>
      </w:r>
      <w:r>
        <w:rPr>
          <w:rFonts w:hint="eastAsia" w:ascii="Times New Roman" w:hAnsi="Times New Roman" w:cs="Times New Roman"/>
        </w:rPr>
        <w:t>，满足安徽人民对优质</w:t>
      </w:r>
      <w:r>
        <w:rPr>
          <w:rFonts w:ascii="Times New Roman" w:hAnsi="Times New Roman" w:cs="Times New Roman"/>
        </w:rPr>
        <w:t>医学</w:t>
      </w:r>
      <w:r>
        <w:rPr>
          <w:rFonts w:hint="eastAsia" w:ascii="Times New Roman" w:hAnsi="Times New Roman" w:cs="Times New Roman"/>
        </w:rPr>
        <w:t>高等教育迫切需求。</w:t>
      </w:r>
    </w:p>
    <w:p>
      <w:pPr>
        <w:pStyle w:val="3"/>
        <w:spacing w:before="0" w:after="0" w:line="240" w:lineRule="auto"/>
        <w:rPr>
          <w:rFonts w:ascii="Times New Roman" w:hAnsi="Times New Roman" w:eastAsia="黑体"/>
          <w:sz w:val="28"/>
          <w:szCs w:val="28"/>
        </w:rPr>
      </w:pPr>
      <w:bookmarkStart w:id="127" w:name="_Toc14907"/>
      <w:r>
        <w:rPr>
          <w:rFonts w:hint="eastAsia" w:ascii="Times New Roman" w:hAnsi="Times New Roman" w:eastAsia="黑体"/>
          <w:sz w:val="28"/>
          <w:szCs w:val="28"/>
        </w:rPr>
        <w:t>4.4突出专业集群新发展</w:t>
      </w:r>
      <w:bookmarkEnd w:id="127"/>
    </w:p>
    <w:p>
      <w:pPr>
        <w:autoSpaceDE w:val="0"/>
        <w:autoSpaceDN w:val="0"/>
        <w:spacing w:line="400" w:lineRule="exact"/>
        <w:ind w:firstLine="480" w:firstLineChars="200"/>
        <w:rPr>
          <w:kern w:val="0"/>
          <w:sz w:val="24"/>
          <w:szCs w:val="24"/>
        </w:rPr>
      </w:pPr>
      <w:r>
        <w:rPr>
          <w:rFonts w:hint="eastAsia"/>
          <w:kern w:val="0"/>
          <w:sz w:val="24"/>
          <w:szCs w:val="24"/>
        </w:rPr>
        <w:t>在“新医科”背景下，打造临床医学、护理学、预防医学3个优势高峰专业，加大投入，加大软硬件建设力度，形成优势、拳头专业。以省级一流专业为引领，促进医工、医理、医管、医药、“医+X”“X+医”等专业集群发展，进一步整合资源、抱团发展。同时，推进“老年医学+专业群”建设，构建医养结合领域人才培养体系，整合基础医学、预防医学、临床医学、护理学、康复治疗学、健康服务与管理等专业，为服务养老产业培养老年医养结合高素质专业人才。</w:t>
      </w:r>
    </w:p>
    <w:p>
      <w:pPr>
        <w:pStyle w:val="3"/>
        <w:spacing w:before="0" w:after="0" w:line="240" w:lineRule="auto"/>
        <w:rPr>
          <w:rFonts w:ascii="Times New Roman" w:hAnsi="Times New Roman" w:eastAsia="黑体"/>
          <w:sz w:val="28"/>
          <w:szCs w:val="28"/>
        </w:rPr>
      </w:pPr>
      <w:bookmarkStart w:id="128" w:name="_Toc23294"/>
      <w:r>
        <w:rPr>
          <w:rFonts w:hint="eastAsia" w:ascii="Times New Roman" w:hAnsi="Times New Roman" w:eastAsia="黑体"/>
          <w:sz w:val="28"/>
          <w:szCs w:val="28"/>
        </w:rPr>
        <w:t>4.5 深化人才培养新模式</w:t>
      </w:r>
      <w:bookmarkEnd w:id="128"/>
    </w:p>
    <w:p>
      <w:pPr>
        <w:autoSpaceDE w:val="0"/>
        <w:autoSpaceDN w:val="0"/>
        <w:spacing w:line="400" w:lineRule="exact"/>
        <w:ind w:firstLine="480" w:firstLineChars="200"/>
        <w:rPr>
          <w:kern w:val="0"/>
          <w:sz w:val="24"/>
          <w:szCs w:val="24"/>
        </w:rPr>
      </w:pPr>
      <w:r>
        <w:rPr>
          <w:rFonts w:hint="eastAsia"/>
          <w:kern w:val="0"/>
          <w:sz w:val="24"/>
          <w:szCs w:val="24"/>
        </w:rPr>
        <w:t>围绕“卓越医师2.0”行动计划和高水平公共卫生学院建设，加强附属医院、实践教学基地指导和协调，深化医教协同。推进临床医学专业“3+2”培养模式改革，促进医学生“早临床、多临床和反复临床”。紧密对接行业发展前沿，强化协同育人，校企共建“老年护理学产业学院”、“金域医学检验学院”、“大健康产业学院”，提升专业建设水平，提高人才培养质量。</w:t>
      </w:r>
    </w:p>
    <w:p>
      <w:pPr>
        <w:rPr>
          <w:rStyle w:val="28"/>
          <w:rFonts w:eastAsia="黑体"/>
          <w:sz w:val="30"/>
          <w:szCs w:val="30"/>
        </w:rPr>
      </w:pPr>
      <w:bookmarkStart w:id="129" w:name="_Toc29808"/>
      <w:r>
        <w:rPr>
          <w:rStyle w:val="28"/>
          <w:rFonts w:eastAsia="黑体"/>
          <w:sz w:val="30"/>
          <w:szCs w:val="30"/>
        </w:rPr>
        <w:t>五、质量保障体系</w:t>
      </w:r>
    </w:p>
    <w:bookmarkEnd w:id="129"/>
    <w:p>
      <w:pPr>
        <w:pStyle w:val="3"/>
        <w:spacing w:before="0" w:after="0" w:line="240" w:lineRule="auto"/>
        <w:rPr>
          <w:rFonts w:ascii="Times New Roman" w:hAnsi="Times New Roman" w:eastAsia="黑体"/>
          <w:sz w:val="28"/>
          <w:szCs w:val="28"/>
        </w:rPr>
      </w:pPr>
      <w:bookmarkStart w:id="130" w:name="_Toc5288"/>
      <w:bookmarkStart w:id="131" w:name="_Toc32715"/>
      <w:bookmarkStart w:id="132" w:name="_Toc4931"/>
      <w:bookmarkStart w:id="133" w:name="_Toc12920"/>
      <w:bookmarkStart w:id="134" w:name="_Toc23656"/>
      <w:bookmarkStart w:id="135" w:name="_Toc27732533"/>
      <w:bookmarkStart w:id="136" w:name="_Toc20823"/>
      <w:r>
        <w:rPr>
          <w:rFonts w:ascii="Times New Roman" w:hAnsi="Times New Roman" w:eastAsia="黑体"/>
          <w:sz w:val="28"/>
          <w:szCs w:val="28"/>
          <w:lang w:eastAsia="zh-Hans"/>
        </w:rPr>
        <w:t>5.1</w:t>
      </w:r>
      <w:bookmarkEnd w:id="130"/>
      <w:bookmarkEnd w:id="131"/>
      <w:bookmarkEnd w:id="132"/>
      <w:bookmarkEnd w:id="133"/>
      <w:bookmarkEnd w:id="134"/>
      <w:bookmarkEnd w:id="135"/>
      <w:r>
        <w:rPr>
          <w:rFonts w:hint="eastAsia" w:ascii="Times New Roman" w:hAnsi="Times New Roman" w:eastAsia="黑体"/>
          <w:sz w:val="28"/>
          <w:szCs w:val="28"/>
        </w:rPr>
        <w:t>坚持本科教学工作中心地位</w:t>
      </w:r>
      <w:bookmarkEnd w:id="136"/>
    </w:p>
    <w:p>
      <w:pPr>
        <w:spacing w:line="400" w:lineRule="exact"/>
        <w:ind w:firstLine="480" w:firstLineChars="200"/>
        <w:rPr>
          <w:kern w:val="0"/>
          <w:sz w:val="24"/>
          <w:szCs w:val="24"/>
        </w:rPr>
      </w:pPr>
      <w:r>
        <w:rPr>
          <w:rFonts w:hint="eastAsia"/>
          <w:sz w:val="24"/>
          <w:szCs w:val="24"/>
        </w:rPr>
        <w:t>学院高度重视教学工作，建立了院领导直接分管联系各部门各系部的教育教学联系新机制。实行院领导和职能部门负责人听课制度，各位院领导定期或不定期深入教学第一线开展教育教学调研工作。坚持“以教师为本、以学生为中心”的教育理念，将本科教育放在人才培养的核心地位，进一步加强教育教学与管理的内涵建设，不断提高人才培养质量，举全院之力为教育教学服务。加强思想政治教育与中国特色社会主义理论教育，将习近平新时代中国特色社会主义思想真正做到进教材、进课堂、进头脑，强化教师的立德树人意识，进一步建立完善“全员、全方位、全过程育人”机制。</w:t>
      </w:r>
    </w:p>
    <w:p>
      <w:pPr>
        <w:pStyle w:val="3"/>
        <w:spacing w:before="0" w:after="0" w:line="240" w:lineRule="auto"/>
        <w:rPr>
          <w:rFonts w:ascii="Times New Roman" w:hAnsi="Times New Roman" w:eastAsia="黑体"/>
          <w:sz w:val="28"/>
          <w:szCs w:val="28"/>
        </w:rPr>
      </w:pPr>
      <w:bookmarkStart w:id="137" w:name="_Toc10657"/>
      <w:r>
        <w:rPr>
          <w:rFonts w:eastAsia="黑体"/>
          <w:sz w:val="28"/>
          <w:szCs w:val="28"/>
        </w:rPr>
        <w:t>5.2</w:t>
      </w:r>
      <w:r>
        <w:rPr>
          <w:rFonts w:hint="eastAsia" w:eastAsia="黑体"/>
          <w:sz w:val="28"/>
          <w:szCs w:val="28"/>
        </w:rPr>
        <w:t>完善</w:t>
      </w:r>
      <w:r>
        <w:rPr>
          <w:rFonts w:ascii="Times New Roman" w:hAnsi="Times New Roman" w:eastAsia="黑体"/>
          <w:sz w:val="28"/>
          <w:szCs w:val="28"/>
        </w:rPr>
        <w:t>教学质量保障体系</w:t>
      </w:r>
      <w:bookmarkEnd w:id="137"/>
    </w:p>
    <w:p>
      <w:pPr>
        <w:spacing w:line="400" w:lineRule="exact"/>
        <w:ind w:firstLine="480" w:firstLineChars="200"/>
        <w:rPr>
          <w:sz w:val="24"/>
          <w:szCs w:val="24"/>
        </w:rPr>
      </w:pPr>
      <w:r>
        <w:rPr>
          <w:rFonts w:hint="eastAsia"/>
          <w:sz w:val="24"/>
          <w:szCs w:val="24"/>
        </w:rPr>
        <w:t>我院建立了“学院、系部、基层教学组织（教研室）”三级教学质量管理体系，建立“教学管理队伍、专家指导队伍、教学督导队伍、同行评价队伍和学生信息员队伍”的“五位一体”的教学监控队伍，对教学各环节实施有效的管理和质量控制，将教学专项检查与日常教学检查相结合，强化质量主体意识，狠抓教风学风建设，落实教学督导、“三期”教学检查、评教评学、竞赛观摩、基层教学组织建设、教师教学质量考核等工作，对教学管理、教学运行、教学考核等方面开展监控与保障，定期开展教学工作例会和教学检查联席会议，及时通报反馈检查情况，并监督整改，提升教师的质量责任意识。实施学生综合素质测评、学科竞赛、创新学分认定等，强化学生的质量竞争意识。</w:t>
      </w:r>
    </w:p>
    <w:p>
      <w:pPr>
        <w:pStyle w:val="3"/>
        <w:spacing w:before="0" w:after="0" w:line="240" w:lineRule="auto"/>
      </w:pPr>
      <w:bookmarkStart w:id="138" w:name="_Toc21428"/>
      <w:r>
        <w:rPr>
          <w:rFonts w:eastAsia="黑体"/>
          <w:sz w:val="28"/>
          <w:szCs w:val="28"/>
        </w:rPr>
        <w:t>5.</w:t>
      </w:r>
      <w:r>
        <w:rPr>
          <w:rFonts w:hint="eastAsia" w:eastAsia="黑体"/>
          <w:sz w:val="28"/>
          <w:szCs w:val="28"/>
        </w:rPr>
        <w:t>3加强</w:t>
      </w:r>
      <w:r>
        <w:rPr>
          <w:rFonts w:ascii="Times New Roman" w:hAnsi="Times New Roman" w:eastAsia="黑体"/>
          <w:sz w:val="28"/>
          <w:szCs w:val="28"/>
        </w:rPr>
        <w:t>日常教学质量监控</w:t>
      </w:r>
      <w:bookmarkEnd w:id="138"/>
    </w:p>
    <w:p>
      <w:pPr>
        <w:spacing w:line="400" w:lineRule="exact"/>
        <w:ind w:firstLine="480" w:firstLineChars="200"/>
        <w:rPr>
          <w:sz w:val="24"/>
          <w:szCs w:val="24"/>
        </w:rPr>
      </w:pPr>
      <w:r>
        <w:rPr>
          <w:rFonts w:hint="eastAsia"/>
          <w:sz w:val="24"/>
          <w:szCs w:val="24"/>
        </w:rPr>
        <w:t>为加强日常教学质量监控，教务处和各系部落实日常教学巡视，每日组织人员开展教学巡视1-2次，从教师教学、学生学习、设备保障和场地卫生等多角度开展巡查，发现问题，及时反馈相关教学单位。定期发布教学巡视问题通报，保证检查有记录，问题有反馈，落实有跟踪。</w:t>
      </w:r>
    </w:p>
    <w:p>
      <w:pPr>
        <w:pStyle w:val="3"/>
        <w:spacing w:before="0" w:after="0" w:line="240" w:lineRule="auto"/>
        <w:rPr>
          <w:rFonts w:ascii="Times New Roman" w:hAnsi="Times New Roman" w:eastAsia="黑体"/>
          <w:sz w:val="28"/>
          <w:szCs w:val="28"/>
        </w:rPr>
      </w:pPr>
      <w:bookmarkStart w:id="139" w:name="_Toc31958"/>
      <w:r>
        <w:rPr>
          <w:rFonts w:hint="eastAsia" w:ascii="Times New Roman" w:hAnsi="Times New Roman" w:eastAsia="黑体"/>
          <w:sz w:val="28"/>
          <w:szCs w:val="28"/>
        </w:rPr>
        <w:t>5.4落实教学质量考核工作</w:t>
      </w:r>
      <w:bookmarkEnd w:id="139"/>
    </w:p>
    <w:p>
      <w:pPr>
        <w:widowControl/>
        <w:spacing w:line="400" w:lineRule="exact"/>
        <w:ind w:firstLine="480" w:firstLineChars="200"/>
        <w:rPr>
          <w:sz w:val="24"/>
          <w:szCs w:val="24"/>
        </w:rPr>
      </w:pPr>
      <w:r>
        <w:rPr>
          <w:rFonts w:hint="eastAsia"/>
          <w:sz w:val="24"/>
          <w:szCs w:val="24"/>
        </w:rPr>
        <w:t>根据上级主管部门要求，学院每年开展课堂教学质量考核，由分管教学工作院领导为组长组建考核领导组，以课堂教学质量、实验教学质量、教学档案材料质量为主要考核指标，以教学态度、教学内容、教学方法、教学效果为具体标准，结合日常工作态度和执行力等实际情况对教师的教学工作进行全面评价，全面了解教师教学水平，发现和解决教学问题。坚持客观公正、民主公开、注重实绩、以人为本，坚持定量与定性相结合，采取多元化的评价方式对教师教学质量进行全面考核。</w:t>
      </w:r>
    </w:p>
    <w:p>
      <w:pPr>
        <w:widowControl/>
        <w:spacing w:line="400" w:lineRule="exact"/>
        <w:ind w:firstLine="480" w:firstLineChars="200"/>
        <w:rPr>
          <w:sz w:val="24"/>
          <w:szCs w:val="24"/>
        </w:rPr>
      </w:pPr>
      <w:r>
        <w:rPr>
          <w:rFonts w:hint="eastAsia"/>
          <w:sz w:val="24"/>
          <w:szCs w:val="24"/>
        </w:rPr>
        <w:t>2022-2023学年教学质量考核结果为“优秀”的教师占参评教师的23 %；考核结果为“良好”的教师占参评教师的 61 %；考核结果为“合格“和”不合格“的教师占参评教师的16%。</w:t>
      </w:r>
    </w:p>
    <w:p>
      <w:pPr>
        <w:rPr>
          <w:rStyle w:val="28"/>
          <w:rFonts w:eastAsia="黑体"/>
          <w:sz w:val="30"/>
          <w:szCs w:val="30"/>
        </w:rPr>
      </w:pPr>
      <w:bookmarkStart w:id="140" w:name="_Toc2773"/>
      <w:r>
        <w:rPr>
          <w:rStyle w:val="28"/>
          <w:rFonts w:hint="eastAsia" w:eastAsia="黑体"/>
          <w:sz w:val="30"/>
          <w:szCs w:val="30"/>
        </w:rPr>
        <w:t>六、学生管理与服务</w:t>
      </w:r>
    </w:p>
    <w:bookmarkEnd w:id="140"/>
    <w:p>
      <w:pPr>
        <w:spacing w:line="400" w:lineRule="exact"/>
        <w:ind w:firstLine="480" w:firstLineChars="200"/>
        <w:rPr>
          <w:rFonts w:ascii="宋体" w:hAnsi="宋体" w:cs="宋体"/>
          <w:sz w:val="24"/>
          <w:szCs w:val="24"/>
        </w:rPr>
      </w:pPr>
      <w:bookmarkStart w:id="141" w:name="_Toc1641"/>
      <w:bookmarkStart w:id="142" w:name="_Toc8000"/>
      <w:bookmarkStart w:id="143" w:name="_Toc28409"/>
      <w:r>
        <w:rPr>
          <w:rFonts w:hint="eastAsia" w:ascii="宋体" w:hAnsi="宋体" w:cs="宋体"/>
          <w:sz w:val="24"/>
          <w:szCs w:val="24"/>
        </w:rPr>
        <w:t>坚持以习近平新时代中国特色社会主义思想为指引，坚持社会主义办学方向，坚守“为党育人、为国育才”的初心和使命，紧密围绕立德树人根本任务，筑牢校园疫情防控的坚实堡垒，夯实思政铸魂育人的教育阵地，促进学生工作内涵式发展，致力培养德医双修的新时代医学人才。</w:t>
      </w:r>
    </w:p>
    <w:bookmarkEnd w:id="141"/>
    <w:bookmarkEnd w:id="142"/>
    <w:bookmarkEnd w:id="143"/>
    <w:p>
      <w:pPr>
        <w:pStyle w:val="3"/>
        <w:spacing w:before="0" w:after="0" w:line="240" w:lineRule="auto"/>
        <w:rPr>
          <w:rFonts w:ascii="Times New Roman" w:hAnsi="Times New Roman" w:eastAsia="黑体"/>
          <w:sz w:val="28"/>
          <w:szCs w:val="28"/>
        </w:rPr>
      </w:pPr>
      <w:bookmarkStart w:id="144" w:name="_Toc1625"/>
      <w:r>
        <w:rPr>
          <w:rFonts w:hint="eastAsia" w:ascii="Times New Roman" w:hAnsi="Times New Roman" w:eastAsia="黑体"/>
          <w:sz w:val="28"/>
          <w:szCs w:val="28"/>
        </w:rPr>
        <w:t>6.1守土有责，筑牢校园安全稳定屏障</w:t>
      </w:r>
      <w:bookmarkEnd w:id="144"/>
    </w:p>
    <w:p>
      <w:pPr>
        <w:pStyle w:val="19"/>
        <w:spacing w:before="0" w:beforeAutospacing="0" w:after="0" w:afterAutospacing="0"/>
        <w:jc w:val="both"/>
        <w:rPr>
          <w:rFonts w:ascii="Times New Roman" w:hAnsi="Times New Roman" w:eastAsia="黑体" w:cs="Times New Roman"/>
          <w:b/>
          <w:szCs w:val="28"/>
        </w:rPr>
      </w:pPr>
      <w:r>
        <w:rPr>
          <w:rFonts w:hint="eastAsia" w:ascii="Times New Roman" w:hAnsi="Times New Roman" w:eastAsia="黑体" w:cs="Times New Roman"/>
          <w:b/>
          <w:szCs w:val="28"/>
        </w:rPr>
        <w:t>6.1.1顺势而为，积极落实疫情防控措施</w:t>
      </w:r>
    </w:p>
    <w:p>
      <w:pPr>
        <w:spacing w:line="400" w:lineRule="exact"/>
        <w:ind w:firstLine="480" w:firstLineChars="200"/>
        <w:rPr>
          <w:rFonts w:ascii="宋体" w:hAnsi="宋体" w:cs="宋体"/>
          <w:sz w:val="24"/>
          <w:szCs w:val="24"/>
        </w:rPr>
      </w:pPr>
      <w:r>
        <w:rPr>
          <w:rFonts w:hint="eastAsia" w:ascii="宋体" w:hAnsi="宋体" w:cs="宋体"/>
          <w:sz w:val="24"/>
          <w:szCs w:val="24"/>
        </w:rPr>
        <w:t>校园安全稳定是学院各项事业发展的重要前提和保障，严格执行校园安全稳定、疫情防控最新政策要求，形成学生工作系统疫情防控协同联动机制，以最严格标准落实疫情防控工作。科学制定动态校园学生疫情防控政策，适时调整学生校园管理措施。</w:t>
      </w:r>
    </w:p>
    <w:p>
      <w:pPr>
        <w:spacing w:line="400" w:lineRule="exact"/>
        <w:ind w:firstLine="480" w:firstLineChars="200"/>
        <w:rPr>
          <w:rFonts w:ascii="宋体" w:hAnsi="宋体" w:cs="宋体"/>
          <w:sz w:val="24"/>
          <w:szCs w:val="24"/>
        </w:rPr>
      </w:pPr>
      <w:r>
        <w:rPr>
          <w:rFonts w:hint="eastAsia" w:ascii="宋体" w:hAnsi="宋体" w:cs="宋体"/>
          <w:sz w:val="24"/>
          <w:szCs w:val="24"/>
        </w:rPr>
        <w:t>全年有序处理密接学生7人、次密接328人、黄红码学生68人、与阳性存在时空交集学生16人、涉及疫情地区返校20人、4人身体异常启动应急事项，分别制定“学生黄码辅导员五步操作”流程、隔离学生入住及搬离校园隔离宿舍登记流程。全年组织核酸检测89次，全员检测61次，隔离学生单采1235人次，累计检测337699人次。</w:t>
      </w:r>
    </w:p>
    <w:p>
      <w:pPr>
        <w:pStyle w:val="19"/>
        <w:spacing w:before="0" w:beforeAutospacing="0" w:after="0" w:afterAutospacing="0"/>
        <w:jc w:val="both"/>
        <w:rPr>
          <w:rFonts w:ascii="Times New Roman" w:hAnsi="Times New Roman" w:eastAsia="黑体" w:cs="Times New Roman"/>
          <w:b/>
          <w:szCs w:val="28"/>
        </w:rPr>
      </w:pPr>
      <w:r>
        <w:rPr>
          <w:rFonts w:hint="eastAsia" w:ascii="Times New Roman" w:hAnsi="Times New Roman" w:eastAsia="黑体" w:cs="Times New Roman"/>
          <w:b/>
          <w:szCs w:val="28"/>
        </w:rPr>
        <w:t>6.1.2润心育人，构建校园心理健康防线</w:t>
      </w:r>
    </w:p>
    <w:p>
      <w:pPr>
        <w:spacing w:line="400" w:lineRule="exact"/>
        <w:ind w:firstLine="480" w:firstLineChars="200"/>
        <w:rPr>
          <w:rFonts w:ascii="宋体" w:hAnsi="宋体" w:cs="宋体"/>
          <w:sz w:val="24"/>
          <w:szCs w:val="24"/>
        </w:rPr>
      </w:pPr>
      <w:r>
        <w:rPr>
          <w:rFonts w:hint="eastAsia" w:ascii="宋体" w:hAnsi="宋体" w:cs="宋体"/>
          <w:sz w:val="24"/>
          <w:szCs w:val="24"/>
        </w:rPr>
        <w:t>心理健康教育中心构筑全方位、多层次护航“心”成长，开设“7*24”在线咨询值班活动，进一步完善心理健康教育制度，探索打造远程心理健康教育一体化“云”平台，实现新生心理测评100%覆盖，并对173名可能存在心理问题的新生进行筛查与约谈。同时，举办各级各类培训讲座6次，覆盖师生3000余人；线下个体心理咨询68人次，线上个体咨询2次；妥善处理学生心理危机事件4例；开展大型心理健康宣传月系列活动2次；针对排查出的135名“五特”学生开展持续性帮扶一跟进工作。加大心理健康知识宣传与普及力度，加强重点学生的关注与及时干预，多措并举，实现2022年全年无心理安全事故。</w:t>
      </w:r>
    </w:p>
    <w:p>
      <w:pPr>
        <w:pStyle w:val="19"/>
        <w:spacing w:before="0" w:beforeAutospacing="0" w:after="0" w:afterAutospacing="0"/>
        <w:jc w:val="both"/>
        <w:rPr>
          <w:rFonts w:ascii="Times New Roman" w:hAnsi="Times New Roman" w:eastAsia="黑体" w:cs="Times New Roman"/>
          <w:b/>
          <w:szCs w:val="28"/>
        </w:rPr>
      </w:pPr>
      <w:r>
        <w:rPr>
          <w:rFonts w:hint="eastAsia" w:ascii="Times New Roman" w:hAnsi="Times New Roman" w:eastAsia="黑体" w:cs="Times New Roman"/>
          <w:b/>
          <w:szCs w:val="28"/>
        </w:rPr>
        <w:t>6.1.3服务育人，打造文明安全公寓</w:t>
      </w:r>
    </w:p>
    <w:p>
      <w:pPr>
        <w:spacing w:line="400" w:lineRule="exact"/>
        <w:ind w:firstLine="480" w:firstLineChars="200"/>
        <w:rPr>
          <w:rFonts w:ascii="宋体" w:hAnsi="宋体" w:cs="宋体"/>
          <w:sz w:val="24"/>
          <w:szCs w:val="24"/>
        </w:rPr>
      </w:pPr>
      <w:r>
        <w:rPr>
          <w:rFonts w:hint="eastAsia" w:ascii="宋体" w:hAnsi="宋体" w:cs="宋体"/>
          <w:sz w:val="24"/>
          <w:szCs w:val="24"/>
        </w:rPr>
        <w:t>紧密围绕学院工作重点，遵循育人规律，坚持管理育人、服务育人和文化育人理念，以“平安公寓、文明公寓”为目标，落实服务学生全面发展的主旨，创建文明安全公寓文化氛围。</w:t>
      </w:r>
    </w:p>
    <w:p>
      <w:pPr>
        <w:spacing w:line="400" w:lineRule="exact"/>
        <w:ind w:firstLine="480" w:firstLineChars="200"/>
        <w:rPr>
          <w:rFonts w:ascii="宋体" w:hAnsi="宋体" w:cs="宋体"/>
          <w:sz w:val="24"/>
          <w:szCs w:val="24"/>
        </w:rPr>
      </w:pPr>
      <w:r>
        <w:rPr>
          <w:rFonts w:hint="eastAsia" w:ascii="宋体" w:hAnsi="宋体" w:cs="宋体"/>
          <w:sz w:val="24"/>
          <w:szCs w:val="24"/>
        </w:rPr>
        <w:t>加强体系建设与素质培养，全方位打造育人队伍。扎实做好宿管员队伍建设，落实宿舍管理工作日志、周报制度，每月开展技能培训会；落实每月考核；开展冬日暖心慰问，激发学生公寓自我管理内生动力。成立楼长—层长—寝室长“三长”制，培养“三长”应急应变能力，通过“三长”能够及时反馈学生建议与意见、开展检查工作、举办文化活动等。多部门联合开展公寓安全大检查、消防演练和防火防盗防电诈宣传等活动，提高公寓检查频次，加大对吸烟、夜不归宿、使用违禁电器等违纪行为的处理力度，月进寝室巡查达两万人次。</w:t>
      </w:r>
    </w:p>
    <w:p>
      <w:pPr>
        <w:spacing w:line="400" w:lineRule="exact"/>
        <w:ind w:firstLine="480" w:firstLineChars="200"/>
        <w:rPr>
          <w:rFonts w:ascii="宋体" w:hAnsi="宋体" w:cs="宋体"/>
          <w:sz w:val="24"/>
          <w:szCs w:val="24"/>
        </w:rPr>
      </w:pPr>
      <w:r>
        <w:rPr>
          <w:rFonts w:hint="eastAsia" w:ascii="宋体" w:hAnsi="宋体" w:cs="宋体"/>
          <w:sz w:val="24"/>
          <w:szCs w:val="24"/>
        </w:rPr>
        <w:t>强化公寓文化建设，发挥育人功能。开展丰富多彩的学生活动，公寓文化节、“最佳楼层”评选活动、“母亲节心愿墙”、羽毛球比赛等活动，丰富学生课余文化生活，引导学生养成良好的生活习惯，增强学生“主人翁”意识，实现学生自我管理、自我服务、自我教育、自我监督。</w:t>
      </w:r>
    </w:p>
    <w:p>
      <w:pPr>
        <w:pStyle w:val="3"/>
        <w:spacing w:before="0" w:after="0" w:line="240" w:lineRule="auto"/>
        <w:rPr>
          <w:rFonts w:ascii="Times New Roman" w:hAnsi="Times New Roman" w:eastAsia="黑体"/>
          <w:sz w:val="28"/>
          <w:szCs w:val="28"/>
        </w:rPr>
      </w:pPr>
      <w:bookmarkStart w:id="145" w:name="_Toc7734"/>
      <w:r>
        <w:rPr>
          <w:rFonts w:hint="eastAsia" w:ascii="Times New Roman" w:hAnsi="Times New Roman" w:eastAsia="黑体"/>
          <w:sz w:val="28"/>
          <w:szCs w:val="28"/>
        </w:rPr>
        <w:t>6.2 围绕大局、紧扣重点，强化学生思想文化引领</w:t>
      </w:r>
      <w:bookmarkEnd w:id="145"/>
    </w:p>
    <w:p>
      <w:pPr>
        <w:pStyle w:val="19"/>
        <w:spacing w:before="0" w:beforeAutospacing="0" w:after="0" w:afterAutospacing="0"/>
        <w:jc w:val="both"/>
        <w:rPr>
          <w:rFonts w:ascii="Times New Roman" w:hAnsi="Times New Roman" w:eastAsia="黑体" w:cs="Times New Roman"/>
          <w:b/>
          <w:szCs w:val="28"/>
        </w:rPr>
      </w:pPr>
      <w:r>
        <w:rPr>
          <w:rFonts w:hint="eastAsia" w:ascii="Times New Roman" w:hAnsi="Times New Roman" w:eastAsia="黑体" w:cs="Times New Roman"/>
          <w:b/>
          <w:szCs w:val="28"/>
        </w:rPr>
        <w:t>6.2.1构建政治引领为核心，提升综合素质为目标</w:t>
      </w:r>
    </w:p>
    <w:p>
      <w:pPr>
        <w:spacing w:line="400" w:lineRule="exact"/>
        <w:ind w:firstLine="480" w:firstLineChars="200"/>
        <w:rPr>
          <w:rFonts w:ascii="宋体" w:hAnsi="宋体" w:cs="宋体"/>
          <w:sz w:val="24"/>
          <w:szCs w:val="24"/>
        </w:rPr>
      </w:pPr>
      <w:r>
        <w:rPr>
          <w:rFonts w:hint="eastAsia" w:ascii="宋体" w:hAnsi="宋体" w:cs="宋体"/>
          <w:sz w:val="24"/>
          <w:szCs w:val="24"/>
        </w:rPr>
        <w:t>在校党委的领导下，以切实有效的思想政治工作，提高团员青年思想政治素质。以校园科技文化活动、社会实践活动为载体，积极开展校园文化活动，营造良好的育人环境，提高学生的科学素养和文化品位。以培养学生创新精神和实践能力为重点，以全面提高学生的综合素质、促进学生全面发展为目标，培养学生的创新精神和实践能力，取得了显著的成绩。</w:t>
      </w:r>
    </w:p>
    <w:p>
      <w:pPr>
        <w:pStyle w:val="19"/>
        <w:spacing w:before="0" w:beforeAutospacing="0" w:after="0" w:afterAutospacing="0"/>
        <w:jc w:val="both"/>
        <w:rPr>
          <w:rFonts w:ascii="Times New Roman" w:hAnsi="Times New Roman" w:eastAsia="黑体" w:cs="Times New Roman"/>
          <w:b/>
          <w:szCs w:val="28"/>
        </w:rPr>
      </w:pPr>
      <w:r>
        <w:rPr>
          <w:rFonts w:hint="eastAsia" w:ascii="Times New Roman" w:hAnsi="Times New Roman" w:eastAsia="黑体" w:cs="Times New Roman"/>
          <w:b/>
          <w:szCs w:val="28"/>
        </w:rPr>
        <w:t>6.2.2强化活动平台建设，提升学生能力水平</w:t>
      </w:r>
    </w:p>
    <w:p>
      <w:pPr>
        <w:spacing w:line="400" w:lineRule="exact"/>
        <w:ind w:firstLine="480" w:firstLineChars="200"/>
        <w:rPr>
          <w:rFonts w:ascii="宋体" w:hAnsi="宋体" w:cs="宋体"/>
          <w:sz w:val="24"/>
          <w:szCs w:val="24"/>
        </w:rPr>
      </w:pPr>
      <w:r>
        <w:rPr>
          <w:rFonts w:hint="eastAsia" w:ascii="宋体" w:hAnsi="宋体" w:cs="宋体"/>
          <w:sz w:val="24"/>
          <w:szCs w:val="24"/>
        </w:rPr>
        <w:t>围绕“学习二十大精神”、“建团100周年”、“创新创业活动”、“宣传阵地建设”、“团组织活力建设”、“志愿服务引领”、“基层社会实践”、“大型活动组织”八项主题，开展内容丰富、形式多样的主题特色活动，为学生提供了更深刻直观的学习体验。学院学子不负众望，在多项重大赛事中，获得省级以上荣誉26项，共计134人次，其中国家级奖项3项。</w:t>
      </w:r>
    </w:p>
    <w:p>
      <w:pPr>
        <w:pStyle w:val="19"/>
        <w:spacing w:before="0" w:beforeAutospacing="0" w:after="0" w:afterAutospacing="0"/>
        <w:jc w:val="both"/>
        <w:rPr>
          <w:rFonts w:ascii="Times New Roman" w:hAnsi="Times New Roman" w:eastAsia="黑体" w:cs="Times New Roman"/>
          <w:b/>
          <w:szCs w:val="28"/>
        </w:rPr>
      </w:pPr>
      <w:r>
        <w:rPr>
          <w:rFonts w:hint="eastAsia" w:ascii="Times New Roman" w:hAnsi="Times New Roman" w:eastAsia="黑体" w:cs="Times New Roman"/>
          <w:b/>
          <w:szCs w:val="28"/>
        </w:rPr>
        <w:t>6.2.3聚焦重点活动，展示学院学子新风</w:t>
      </w:r>
    </w:p>
    <w:p>
      <w:pPr>
        <w:spacing w:line="400" w:lineRule="exact"/>
        <w:ind w:firstLine="480" w:firstLineChars="200"/>
        <w:rPr>
          <w:rFonts w:ascii="宋体" w:hAnsi="宋体" w:cs="宋体"/>
          <w:sz w:val="24"/>
          <w:szCs w:val="24"/>
        </w:rPr>
      </w:pPr>
      <w:r>
        <w:rPr>
          <w:rFonts w:hint="eastAsia" w:ascii="宋体" w:hAnsi="宋体" w:cs="宋体"/>
          <w:sz w:val="24"/>
          <w:szCs w:val="24"/>
        </w:rPr>
        <w:t>在学院新校区第一届校园运动会上，学子从运动员选拔、入场式编排、比赛竞技等展示了新时代青年的青春风貌；学院军训汇报表演、五四表彰等重点活动，整体提升了学院办文办会的能力水平。在疫情防控期间，广大青年学子，体现了爱校荣校、临院学子命运共同体的使命感与责任感。</w:t>
      </w:r>
    </w:p>
    <w:p>
      <w:pPr>
        <w:pStyle w:val="3"/>
        <w:spacing w:before="0" w:after="0" w:line="240" w:lineRule="auto"/>
        <w:rPr>
          <w:rFonts w:ascii="Times New Roman" w:hAnsi="Times New Roman" w:eastAsia="黑体"/>
          <w:sz w:val="28"/>
          <w:szCs w:val="28"/>
        </w:rPr>
      </w:pPr>
      <w:bookmarkStart w:id="146" w:name="_Toc1683"/>
      <w:r>
        <w:rPr>
          <w:rFonts w:hint="eastAsia" w:ascii="Times New Roman" w:hAnsi="Times New Roman" w:eastAsia="黑体"/>
          <w:sz w:val="28"/>
          <w:szCs w:val="28"/>
        </w:rPr>
        <w:t>6.3全员参与、精准施策，指导学生生涯发展</w:t>
      </w:r>
      <w:bookmarkEnd w:id="146"/>
    </w:p>
    <w:p>
      <w:pPr>
        <w:spacing w:line="400" w:lineRule="exact"/>
        <w:ind w:firstLine="480" w:firstLineChars="200"/>
        <w:rPr>
          <w:rFonts w:ascii="宋体" w:hAnsi="宋体" w:cs="宋体"/>
          <w:sz w:val="24"/>
          <w:szCs w:val="24"/>
        </w:rPr>
      </w:pPr>
      <w:r>
        <w:rPr>
          <w:rFonts w:hint="eastAsia" w:ascii="宋体" w:hAnsi="宋体" w:cs="宋体"/>
          <w:sz w:val="24"/>
          <w:szCs w:val="24"/>
        </w:rPr>
        <w:t>就业是民生之本、稳定之基，是经济和社会高质量发展的重要支撑和关键环节，毕业生就业质量和水平，是学校办学质量和水平的重要体现，事关学校核心竞争力与影响力的提升、事关学校生存与长远发展、事关学生成长成才与社会和谐稳定，要把学习贯彻习近平新时代中国特色社会主义思想主题教育同做好我院毕业生就业工作紧密结合起来，秉持以服务为宗旨、以就业为导向理念，全员参与、多方位多层次推进就业工作，2022届毕业生去向落实率达到95.13%，截至8月31日，2023届毕业生初次去向落实率达91.77%。</w:t>
      </w:r>
    </w:p>
    <w:p>
      <w:pPr>
        <w:spacing w:line="400" w:lineRule="exact"/>
        <w:rPr>
          <w:rFonts w:eastAsia="黑体"/>
          <w:b/>
          <w:kern w:val="0"/>
          <w:sz w:val="24"/>
          <w:szCs w:val="28"/>
        </w:rPr>
      </w:pPr>
      <w:r>
        <w:rPr>
          <w:rFonts w:hint="eastAsia" w:eastAsia="黑体"/>
          <w:b/>
          <w:kern w:val="0"/>
          <w:sz w:val="24"/>
          <w:szCs w:val="28"/>
        </w:rPr>
        <w:t>6.3.1领导高度重视，一把手工程落实到位</w:t>
      </w:r>
    </w:p>
    <w:p>
      <w:pPr>
        <w:spacing w:line="400" w:lineRule="exact"/>
        <w:ind w:firstLine="480" w:firstLineChars="200"/>
        <w:rPr>
          <w:rFonts w:ascii="宋体" w:hAnsi="宋体" w:cs="宋体"/>
          <w:sz w:val="24"/>
          <w:szCs w:val="24"/>
        </w:rPr>
      </w:pPr>
      <w:r>
        <w:rPr>
          <w:rFonts w:hint="eastAsia" w:ascii="宋体" w:hAnsi="宋体" w:cs="宋体"/>
          <w:sz w:val="24"/>
          <w:szCs w:val="24"/>
        </w:rPr>
        <w:t>将毕业生就业作为“国之大者”，落实就业工作“一把手工程”，压实责任链条，院党政主要负责人亲自参与政策制定、就业辅导与帮扶、毕业生推介等工作，定期召开就业工作专项会议，了解毕业生就业工作开展情况，加强指导服务，帮助解决就业工作中的重难点问题。严格落实好“一把手工程”和全员包保责任制，采取“走出去”和“引进来”方式，夯实空中招聘效果，积极开展“访企拓岗”专项行动，完成154家企业访企任务，提供岗位近千个；开展考研指导讲座、“宏志助航”计划培训、“四进一促”就创业政策宣讲等就业指导服务；举办“访企拓岗送春风”、秋季校园空中双选会等各类专场招聘会、宣讲会；建立暑期就业专班；举行“校园招聘月”系列活动。</w:t>
      </w:r>
    </w:p>
    <w:p>
      <w:pPr>
        <w:spacing w:line="400" w:lineRule="exact"/>
        <w:rPr>
          <w:rFonts w:eastAsia="黑体"/>
          <w:b/>
          <w:kern w:val="0"/>
          <w:sz w:val="24"/>
          <w:szCs w:val="28"/>
        </w:rPr>
      </w:pPr>
      <w:r>
        <w:rPr>
          <w:rFonts w:hint="eastAsia" w:eastAsia="黑体"/>
          <w:b/>
          <w:kern w:val="0"/>
          <w:sz w:val="24"/>
          <w:szCs w:val="28"/>
        </w:rPr>
        <w:t>6.3.2分类精准指导，大力开发特色就业项目</w:t>
      </w:r>
    </w:p>
    <w:p>
      <w:pPr>
        <w:spacing w:line="400" w:lineRule="exact"/>
        <w:ind w:firstLine="480" w:firstLineChars="200"/>
        <w:rPr>
          <w:rFonts w:ascii="宋体" w:hAnsi="宋体" w:cs="宋体"/>
          <w:sz w:val="24"/>
          <w:szCs w:val="24"/>
        </w:rPr>
      </w:pPr>
      <w:r>
        <w:rPr>
          <w:rFonts w:hint="eastAsia" w:ascii="宋体" w:hAnsi="宋体" w:cs="宋体"/>
          <w:sz w:val="24"/>
          <w:szCs w:val="24"/>
        </w:rPr>
        <w:t>就业指导与服务是提升毕业生就业工作质量、促进毕业生更加充分更高质量就业的重要环节，有力践行就业服务融入高校思想政治工作的育人“新理念”。通过深化价值引导教育、优化生涯发展教育、强化毕业主题教育、细化就业指导教育形式，帮助毕业生客观了解当前就业形势，用正确的价值标准树立端正的就业观念，提升毕业生求职能力与核心竞争力，倡导“小地方可有大作为”的思想，鼓励毕业生把个人发展融合国家大局，勇担健康中国发展新使命。</w:t>
      </w:r>
    </w:p>
    <w:p>
      <w:pPr>
        <w:spacing w:line="400" w:lineRule="exact"/>
        <w:ind w:firstLine="480" w:firstLineChars="200"/>
        <w:rPr>
          <w:rFonts w:ascii="宋体" w:hAnsi="宋体" w:cs="宋体"/>
          <w:sz w:val="24"/>
          <w:szCs w:val="24"/>
        </w:rPr>
      </w:pPr>
      <w:r>
        <w:rPr>
          <w:rFonts w:hint="eastAsia" w:ascii="宋体" w:hAnsi="宋体" w:cs="宋体"/>
          <w:sz w:val="24"/>
          <w:szCs w:val="24"/>
        </w:rPr>
        <w:t>针对学生特点，采取一对一个性化精准指导，成功推荐11人到国家或地方基层项目工作，占1.91 %；2人入伍，占0.35%；29人考取国内高校研究生，占5.3%；4人出国、出境升学，占0.7%。《护理岗位就业基本技能实训》获教育部学生服务与素质发展中心2022年宏志助航计划线上课程建设课题立项，张静同学获得第十六届安徽省大学生职业规划设计大赛二等奖。278名2023届毕业生获得求职创业补贴，共计41.7万元。人社厅就业奖补资金3.144万元。</w:t>
      </w:r>
    </w:p>
    <w:p>
      <w:pPr>
        <w:spacing w:line="400" w:lineRule="exact"/>
        <w:rPr>
          <w:rFonts w:eastAsia="黑体"/>
          <w:b/>
          <w:kern w:val="0"/>
          <w:sz w:val="24"/>
          <w:szCs w:val="28"/>
        </w:rPr>
      </w:pPr>
      <w:r>
        <w:rPr>
          <w:rFonts w:hint="eastAsia" w:eastAsia="黑体"/>
          <w:b/>
          <w:kern w:val="0"/>
          <w:sz w:val="24"/>
          <w:szCs w:val="28"/>
        </w:rPr>
        <w:t>6.3.3提前谋篇布局，打好2023届就业工作基础</w:t>
      </w:r>
    </w:p>
    <w:p>
      <w:pPr>
        <w:spacing w:line="400" w:lineRule="exact"/>
        <w:ind w:firstLine="480" w:firstLineChars="200"/>
        <w:rPr>
          <w:rFonts w:ascii="宋体" w:hAnsi="宋体" w:cs="宋体"/>
          <w:sz w:val="24"/>
          <w:szCs w:val="24"/>
        </w:rPr>
      </w:pPr>
      <w:r>
        <w:rPr>
          <w:rFonts w:hint="eastAsia" w:ascii="宋体" w:hAnsi="宋体" w:cs="宋体"/>
          <w:sz w:val="24"/>
          <w:szCs w:val="24"/>
        </w:rPr>
        <w:t>制订2023届毕业生就业工作实施方案、就业工作考核办法等。通过系列举措帮助学生规划生涯发展，找准职业目标，实现安全就业。做好疫情期间的考研学生服务，为595名考研学子提供暖心服务，期间157名考研学生返校住宿备考，提供了完备的宿舍隔离、后勤保障和送考服务，并开展了诚信教育和暖心服务，并于考试期间安排11名学工人员、3辆专车全程安排接送和考务服务，全面护航学生成才。</w:t>
      </w:r>
    </w:p>
    <w:p>
      <w:pPr>
        <w:pStyle w:val="3"/>
        <w:spacing w:before="0" w:after="0" w:line="240" w:lineRule="auto"/>
        <w:rPr>
          <w:rFonts w:ascii="Times New Roman" w:hAnsi="Times New Roman" w:eastAsia="黑体"/>
          <w:sz w:val="28"/>
          <w:szCs w:val="28"/>
        </w:rPr>
      </w:pPr>
      <w:bookmarkStart w:id="147" w:name="_Toc4118"/>
      <w:r>
        <w:rPr>
          <w:rFonts w:hint="eastAsia" w:ascii="Times New Roman" w:hAnsi="Times New Roman" w:eastAsia="黑体"/>
          <w:sz w:val="28"/>
          <w:szCs w:val="28"/>
        </w:rPr>
        <w:t>6.4教育引导、监督约束，强化学风建设与文明养成</w:t>
      </w:r>
      <w:bookmarkEnd w:id="147"/>
    </w:p>
    <w:p>
      <w:pPr>
        <w:spacing w:line="400" w:lineRule="exact"/>
        <w:ind w:firstLine="480" w:firstLineChars="200"/>
        <w:rPr>
          <w:rFonts w:ascii="宋体" w:hAnsi="宋体" w:cs="宋体"/>
          <w:sz w:val="24"/>
          <w:szCs w:val="24"/>
        </w:rPr>
      </w:pPr>
      <w:r>
        <w:rPr>
          <w:rFonts w:hint="eastAsia" w:ascii="宋体" w:hAnsi="宋体" w:cs="宋体"/>
          <w:sz w:val="24"/>
          <w:szCs w:val="24"/>
        </w:rPr>
        <w:t>为稳步推进我院优良学风建设的长效机制，营造良好的学习氛围，持续提升学风建设水平和文明素养，引导学生自觉正言行、律举止、修内涵，形成大学生文明新风尚，创造良好育人环境，学风建设活动全年做实做细，思想引领全覆盖。</w:t>
      </w:r>
    </w:p>
    <w:p>
      <w:pPr>
        <w:spacing w:line="400" w:lineRule="exact"/>
        <w:rPr>
          <w:rFonts w:eastAsia="黑体"/>
          <w:b/>
          <w:kern w:val="0"/>
          <w:sz w:val="24"/>
          <w:szCs w:val="28"/>
        </w:rPr>
      </w:pPr>
      <w:r>
        <w:rPr>
          <w:rFonts w:hint="eastAsia" w:eastAsia="黑体"/>
          <w:b/>
          <w:kern w:val="0"/>
          <w:sz w:val="24"/>
          <w:szCs w:val="28"/>
        </w:rPr>
        <w:t>6.4.1抓好入学教育环节，上好大学第一课</w:t>
      </w:r>
    </w:p>
    <w:p>
      <w:pPr>
        <w:spacing w:line="400" w:lineRule="exact"/>
        <w:ind w:firstLine="480" w:firstLineChars="200"/>
        <w:rPr>
          <w:rFonts w:ascii="宋体" w:hAnsi="宋体" w:cs="宋体"/>
          <w:sz w:val="24"/>
          <w:szCs w:val="24"/>
        </w:rPr>
      </w:pPr>
      <w:r>
        <w:rPr>
          <w:rFonts w:hint="eastAsia" w:ascii="宋体" w:hAnsi="宋体" w:cs="宋体"/>
          <w:sz w:val="24"/>
          <w:szCs w:val="24"/>
        </w:rPr>
        <w:t>“学院集中教育与各系自主教育相结合”的方式，开展新生入校教育，举办学籍学位等知识学习、校情校史、校纪校规、职业生涯规划等系列讲座、组织入学教育考试，引导学生适应大学学习与生活，系好大学生涯第一粒扣子。</w:t>
      </w:r>
    </w:p>
    <w:p>
      <w:pPr>
        <w:spacing w:line="400" w:lineRule="exact"/>
        <w:rPr>
          <w:rFonts w:eastAsia="黑体"/>
          <w:b/>
          <w:kern w:val="0"/>
          <w:sz w:val="24"/>
          <w:szCs w:val="28"/>
        </w:rPr>
      </w:pPr>
      <w:r>
        <w:rPr>
          <w:rFonts w:hint="eastAsia" w:eastAsia="黑体"/>
          <w:b/>
          <w:kern w:val="0"/>
          <w:sz w:val="24"/>
          <w:szCs w:val="28"/>
        </w:rPr>
        <w:t>6.4.2落实过程管理，强化日常检查监督</w:t>
      </w:r>
    </w:p>
    <w:p>
      <w:pPr>
        <w:spacing w:line="400" w:lineRule="exact"/>
        <w:ind w:firstLine="480" w:firstLineChars="200"/>
        <w:rPr>
          <w:rFonts w:ascii="宋体" w:hAnsi="宋体" w:cs="宋体"/>
          <w:sz w:val="24"/>
          <w:szCs w:val="24"/>
        </w:rPr>
      </w:pPr>
      <w:r>
        <w:rPr>
          <w:rFonts w:hint="eastAsia" w:ascii="宋体" w:hAnsi="宋体" w:cs="宋体"/>
          <w:sz w:val="24"/>
          <w:szCs w:val="24"/>
        </w:rPr>
        <w:t>针对二、三年级学生，重点实施优良学风建设、行为文明建设、网络文明建设和宿舍文明建设。每日开展早、晚自习检查，开展早操和晨读活动，经查新生晚自习出勤检查达99.5%，学生酗酒、晚归等违纪率持续低位。防疫期间，学生处要求各系要做好学生网络课堂学风和秩序的保障工作，加强对学生上网课的管理，并召开学风教育线上主题班会。</w:t>
      </w:r>
    </w:p>
    <w:p>
      <w:pPr>
        <w:spacing w:line="400" w:lineRule="exact"/>
        <w:rPr>
          <w:rFonts w:eastAsia="黑体"/>
          <w:b/>
          <w:kern w:val="0"/>
          <w:sz w:val="24"/>
          <w:szCs w:val="28"/>
        </w:rPr>
      </w:pPr>
      <w:r>
        <w:rPr>
          <w:rFonts w:hint="eastAsia" w:eastAsia="黑体"/>
          <w:b/>
          <w:kern w:val="0"/>
          <w:sz w:val="24"/>
          <w:szCs w:val="28"/>
        </w:rPr>
        <w:t>6.4.3抓好毕业教育环节，倡导榜样引领</w:t>
      </w:r>
    </w:p>
    <w:p>
      <w:pPr>
        <w:spacing w:line="400" w:lineRule="exact"/>
        <w:ind w:firstLine="480" w:firstLineChars="200"/>
        <w:rPr>
          <w:rFonts w:ascii="宋体" w:hAnsi="宋体" w:cs="宋体"/>
          <w:sz w:val="24"/>
          <w:szCs w:val="24"/>
        </w:rPr>
      </w:pPr>
      <w:r>
        <w:rPr>
          <w:rFonts w:hint="eastAsia" w:ascii="宋体" w:hAnsi="宋体" w:cs="宋体"/>
          <w:sz w:val="24"/>
          <w:szCs w:val="24"/>
        </w:rPr>
        <w:t>始终坚持以生为本，通过思想教育与、毕业活动、人文关怀举措等，将毕业教育与学生的成长成才、学院的发展建设紧密结合，营造浓厚的育人氛围。充分发挥毕业生典型引领和榜样示范作用，推选省级和校级优秀毕业生47人次、选树“校友联络大使”7人，通过举办“毕业典礼”、发放荣誉证书等形式，激励全体毕业生志存高远，逐梦前行。</w:t>
      </w:r>
    </w:p>
    <w:p>
      <w:pPr>
        <w:pStyle w:val="3"/>
        <w:spacing w:before="0" w:after="0" w:line="240" w:lineRule="auto"/>
        <w:rPr>
          <w:rFonts w:ascii="Times New Roman" w:hAnsi="Times New Roman" w:eastAsia="黑体"/>
          <w:sz w:val="28"/>
          <w:szCs w:val="28"/>
        </w:rPr>
      </w:pPr>
      <w:bookmarkStart w:id="148" w:name="_Toc29806"/>
      <w:r>
        <w:rPr>
          <w:rFonts w:hint="eastAsia" w:ascii="Times New Roman" w:hAnsi="Times New Roman" w:eastAsia="黑体"/>
          <w:sz w:val="28"/>
          <w:szCs w:val="28"/>
        </w:rPr>
        <w:t>6.5系统思考、强化育人，全面落实资助育人成效</w:t>
      </w:r>
      <w:bookmarkEnd w:id="148"/>
    </w:p>
    <w:p>
      <w:pPr>
        <w:spacing w:line="400" w:lineRule="exact"/>
        <w:ind w:firstLine="480" w:firstLineChars="200"/>
        <w:rPr>
          <w:rFonts w:ascii="宋体" w:hAnsi="宋体" w:cs="宋体"/>
          <w:sz w:val="24"/>
          <w:szCs w:val="24"/>
        </w:rPr>
      </w:pPr>
      <w:r>
        <w:rPr>
          <w:rFonts w:hint="eastAsia" w:ascii="宋体" w:hAnsi="宋体" w:cs="宋体"/>
          <w:sz w:val="24"/>
          <w:szCs w:val="24"/>
        </w:rPr>
        <w:t>学院将育人作为资助工作的出发点和落脚点，坚持以教育为导向、资助为手段、育人为目标，构建物质帮助、道德浸润、能力拓展、精神激励有效融合的资助育人长效机制，不断提升资助育人实效，助力学生全面发展。通过大幅增设勤工助学岗位，规范助学岗位日常管理，做实活动宣传，落实资助育人成效。</w:t>
      </w:r>
    </w:p>
    <w:p>
      <w:pPr>
        <w:spacing w:line="400" w:lineRule="exact"/>
        <w:rPr>
          <w:rFonts w:eastAsia="黑体"/>
          <w:b/>
          <w:kern w:val="0"/>
          <w:sz w:val="24"/>
          <w:szCs w:val="28"/>
        </w:rPr>
      </w:pPr>
      <w:r>
        <w:rPr>
          <w:rFonts w:hint="eastAsia" w:eastAsia="黑体"/>
          <w:b/>
          <w:kern w:val="0"/>
          <w:sz w:val="24"/>
          <w:szCs w:val="28"/>
        </w:rPr>
        <w:t>6.5.1全方位、多层次开发勤工助学岗位</w:t>
      </w:r>
    </w:p>
    <w:p>
      <w:pPr>
        <w:spacing w:line="400" w:lineRule="exact"/>
        <w:ind w:firstLine="480" w:firstLineChars="200"/>
        <w:rPr>
          <w:rFonts w:ascii="宋体" w:hAnsi="宋体" w:cs="宋体"/>
          <w:sz w:val="24"/>
          <w:szCs w:val="24"/>
        </w:rPr>
      </w:pPr>
      <w:r>
        <w:rPr>
          <w:rFonts w:hint="eastAsia" w:ascii="宋体" w:hAnsi="宋体" w:cs="宋体"/>
          <w:sz w:val="24"/>
          <w:szCs w:val="24"/>
        </w:rPr>
        <w:t>高度重视解决贫困家庭学生困难问题，多层次全方位加强经济困难学生的资助工作，多渠道开发勤工助学岗位，增设助教、助管17个固定岗位，校护卫队临时岗，协调</w:t>
      </w:r>
      <w:r>
        <w:rPr>
          <w:rFonts w:hint="eastAsia" w:ascii="宋体" w:hAnsi="宋体" w:cs="宋体"/>
          <w:sz w:val="24"/>
          <w:szCs w:val="24"/>
          <w:lang w:val="en-US" w:eastAsia="zh-CN"/>
        </w:rPr>
        <w:t>校内各</w:t>
      </w:r>
      <w:r>
        <w:rPr>
          <w:rFonts w:hint="eastAsia" w:ascii="宋体" w:hAnsi="宋体" w:cs="宋体"/>
          <w:sz w:val="24"/>
          <w:szCs w:val="24"/>
        </w:rPr>
        <w:t>单位增设勤工助学岗，确保实现困难学生应助尽助。</w:t>
      </w:r>
    </w:p>
    <w:p>
      <w:pPr>
        <w:spacing w:line="400" w:lineRule="exact"/>
        <w:rPr>
          <w:rFonts w:eastAsia="黑体"/>
          <w:b/>
          <w:kern w:val="0"/>
          <w:sz w:val="24"/>
          <w:szCs w:val="28"/>
        </w:rPr>
      </w:pPr>
      <w:r>
        <w:rPr>
          <w:rFonts w:hint="eastAsia" w:eastAsia="黑体"/>
          <w:b/>
          <w:kern w:val="0"/>
          <w:sz w:val="24"/>
          <w:szCs w:val="28"/>
        </w:rPr>
        <w:t>6.5.2精细化、精准化完成奖助工作</w:t>
      </w:r>
    </w:p>
    <w:p>
      <w:pPr>
        <w:spacing w:line="400" w:lineRule="exact"/>
        <w:ind w:firstLine="480" w:firstLineChars="200"/>
        <w:rPr>
          <w:rFonts w:ascii="宋体" w:hAnsi="宋体" w:cs="宋体"/>
          <w:sz w:val="24"/>
          <w:szCs w:val="24"/>
        </w:rPr>
      </w:pPr>
      <w:r>
        <w:rPr>
          <w:rFonts w:hint="eastAsia" w:ascii="宋体" w:hAnsi="宋体" w:cs="宋体"/>
          <w:sz w:val="24"/>
          <w:szCs w:val="24"/>
        </w:rPr>
        <w:t>注重精准高效，保障资助政策落实落细。认真做好各项数据比对、系统填报工作。针对学生困难程度，建立动态管理的学生信息系统。聚焦重点困难群体，做好分层分类精准资助，提高资助效力。强化事中、事后监管，保证资助对象精准、名额分配精准。开设投诉电话、电子邮箱等多种信息反馈渠道，实现奖助金评选全程监督，遇到问题及时反馈、解决。</w:t>
      </w:r>
    </w:p>
    <w:p>
      <w:pPr>
        <w:spacing w:line="400" w:lineRule="exact"/>
        <w:rPr>
          <w:rFonts w:eastAsia="黑体"/>
          <w:b/>
          <w:kern w:val="0"/>
          <w:sz w:val="24"/>
          <w:szCs w:val="28"/>
        </w:rPr>
      </w:pPr>
      <w:r>
        <w:rPr>
          <w:rFonts w:hint="eastAsia" w:eastAsia="黑体"/>
          <w:b/>
          <w:kern w:val="0"/>
          <w:sz w:val="24"/>
          <w:szCs w:val="28"/>
        </w:rPr>
        <w:t>6.5.3系统化、多形式落实资助育人成效</w:t>
      </w:r>
    </w:p>
    <w:p>
      <w:pPr>
        <w:spacing w:line="400" w:lineRule="exact"/>
        <w:ind w:firstLine="480" w:firstLineChars="200"/>
        <w:rPr>
          <w:rFonts w:ascii="宋体" w:hAnsi="宋体" w:cs="宋体"/>
          <w:sz w:val="24"/>
          <w:szCs w:val="24"/>
        </w:rPr>
      </w:pPr>
      <w:r>
        <w:rPr>
          <w:rFonts w:hint="eastAsia" w:ascii="宋体" w:hAnsi="宋体" w:cs="宋体"/>
          <w:sz w:val="24"/>
          <w:szCs w:val="24"/>
        </w:rPr>
        <w:t>坚持正确的价值观导向，服务学生成长成才。以提升综合素质为重点，形成“解困—育人—成才—回馈”的良性循环，着力铸魂育人。开展诚信建设月系列活动，通过主题班会、专题讲座、征文比赛等多种形式，加强资助政策宣传力度，帮助经济困难学生树立自尊、自强、自信、自立的意识和诚实做事、诚信为人的诚信意识，加强关爱教育，感恩教育，落实育人成效。</w:t>
      </w:r>
    </w:p>
    <w:p>
      <w:pPr>
        <w:pStyle w:val="3"/>
        <w:spacing w:before="0" w:after="0" w:line="240" w:lineRule="auto"/>
        <w:rPr>
          <w:rFonts w:ascii="Times New Roman" w:hAnsi="Times New Roman" w:eastAsia="黑体"/>
          <w:sz w:val="28"/>
          <w:szCs w:val="28"/>
        </w:rPr>
      </w:pPr>
      <w:bookmarkStart w:id="149" w:name="_Toc10931"/>
      <w:r>
        <w:rPr>
          <w:rFonts w:hint="eastAsia" w:ascii="Times New Roman" w:hAnsi="Times New Roman" w:eastAsia="黑体"/>
          <w:sz w:val="28"/>
          <w:szCs w:val="28"/>
        </w:rPr>
        <w:t>6.6 集中服务、规范管理，提升学生在校生活体验</w:t>
      </w:r>
      <w:bookmarkEnd w:id="149"/>
    </w:p>
    <w:p>
      <w:pPr>
        <w:spacing w:line="400" w:lineRule="exact"/>
        <w:rPr>
          <w:rFonts w:eastAsia="黑体"/>
          <w:b/>
          <w:kern w:val="0"/>
          <w:sz w:val="24"/>
          <w:szCs w:val="28"/>
        </w:rPr>
      </w:pPr>
      <w:r>
        <w:rPr>
          <w:rFonts w:hint="eastAsia" w:eastAsia="黑体"/>
          <w:b/>
          <w:kern w:val="0"/>
          <w:sz w:val="24"/>
          <w:szCs w:val="28"/>
        </w:rPr>
        <w:t>6.6.1新建一中心、一平台，便利学生服务</w:t>
      </w:r>
    </w:p>
    <w:p>
      <w:pPr>
        <w:spacing w:line="400" w:lineRule="exact"/>
        <w:ind w:firstLine="480" w:firstLineChars="200"/>
        <w:rPr>
          <w:rFonts w:ascii="宋体" w:hAnsi="宋体" w:cs="宋体"/>
          <w:sz w:val="24"/>
          <w:szCs w:val="24"/>
        </w:rPr>
      </w:pPr>
      <w:r>
        <w:rPr>
          <w:rFonts w:hint="eastAsia" w:ascii="宋体" w:hAnsi="宋体" w:cs="宋体"/>
          <w:sz w:val="24"/>
          <w:szCs w:val="24"/>
        </w:rPr>
        <w:t>优化服务和条件，建设“两站两服务”平台和学生“一站式”服务中心，优化工作流程，为学生“办实事、办好事”。该中心涵盖“政策咨询区”、“业务办理区”、“活动策划区”、“互动交流区”，一方面极大的便利了学生咨询政策、补办学生证、递交医保报销材料等事务的办理；另一方面为退役学生搭建组织和活动平台，参与学校教育和管理服务工作。目前，“两站两服务”平台和学生“一站式”服务中心的服务局面得到了进一步的夯实。</w:t>
      </w:r>
    </w:p>
    <w:p>
      <w:pPr>
        <w:spacing w:line="400" w:lineRule="exact"/>
        <w:rPr>
          <w:rFonts w:eastAsia="黑体"/>
          <w:b/>
          <w:kern w:val="0"/>
          <w:sz w:val="24"/>
          <w:szCs w:val="28"/>
        </w:rPr>
      </w:pPr>
      <w:r>
        <w:rPr>
          <w:rFonts w:hint="eastAsia" w:eastAsia="黑体"/>
          <w:b/>
          <w:kern w:val="0"/>
          <w:sz w:val="24"/>
          <w:szCs w:val="28"/>
        </w:rPr>
        <w:t>6.6.2集中办理学生事务，避免重复无效“跑腿”</w:t>
      </w:r>
    </w:p>
    <w:p>
      <w:pPr>
        <w:spacing w:line="400" w:lineRule="exact"/>
        <w:ind w:firstLine="480"/>
      </w:pPr>
      <w:r>
        <w:rPr>
          <w:rFonts w:hint="eastAsia" w:ascii="宋体" w:hAnsi="宋体" w:cs="宋体"/>
          <w:sz w:val="24"/>
          <w:szCs w:val="24"/>
        </w:rPr>
        <w:t>打通各类堵点，立体化服务业态，提升服务水平。全年处理商业保险理赔次190人次，学生异地住院报销36人次；完成4806人2023年度城乡居民医疗保险参保缴费工作和1192人城乡居民医疗保险重复参保退费工作。在人武部对两站两服务平台建设的考核中成绩优异，位居蜀山区13所高校前3名。以学生实际需求为中心，聚焦一站式服务，不断提升学生的获得感和幸福感。</w:t>
      </w:r>
    </w:p>
    <w:p>
      <w:pPr>
        <w:pStyle w:val="19"/>
        <w:shd w:val="clear" w:color="auto" w:fill="FFFFFF"/>
        <w:spacing w:before="0" w:beforeAutospacing="0" w:after="0" w:afterAutospacing="0"/>
        <w:outlineLvl w:val="0"/>
        <w:rPr>
          <w:rStyle w:val="28"/>
          <w:rFonts w:ascii="Times New Roman" w:hAnsi="Times New Roman" w:eastAsia="黑体" w:cs="Times New Roman"/>
          <w:sz w:val="30"/>
          <w:szCs w:val="30"/>
        </w:rPr>
      </w:pPr>
      <w:bookmarkStart w:id="150" w:name="_Toc31442"/>
      <w:bookmarkStart w:id="151" w:name="_Toc24645"/>
      <w:bookmarkStart w:id="152" w:name="_Toc29257"/>
      <w:bookmarkStart w:id="153" w:name="_Toc11046"/>
      <w:bookmarkStart w:id="154" w:name="_Toc5007"/>
      <w:bookmarkStart w:id="155" w:name="_Toc27689"/>
      <w:r>
        <w:rPr>
          <w:rStyle w:val="28"/>
          <w:rFonts w:hint="eastAsia" w:ascii="Times New Roman" w:hAnsi="Times New Roman" w:eastAsia="黑体" w:cs="Times New Roman"/>
          <w:sz w:val="30"/>
          <w:szCs w:val="30"/>
        </w:rPr>
        <w:t>七</w:t>
      </w:r>
      <w:r>
        <w:rPr>
          <w:rStyle w:val="28"/>
          <w:rFonts w:ascii="Times New Roman" w:hAnsi="Times New Roman" w:eastAsia="黑体" w:cs="Times New Roman"/>
          <w:sz w:val="30"/>
          <w:szCs w:val="30"/>
        </w:rPr>
        <w:t>、学生学习效果</w:t>
      </w:r>
      <w:bookmarkEnd w:id="124"/>
      <w:bookmarkEnd w:id="150"/>
      <w:bookmarkEnd w:id="151"/>
      <w:bookmarkEnd w:id="152"/>
      <w:bookmarkEnd w:id="153"/>
      <w:bookmarkEnd w:id="154"/>
      <w:bookmarkEnd w:id="155"/>
    </w:p>
    <w:p>
      <w:pPr>
        <w:pStyle w:val="3"/>
        <w:spacing w:before="0" w:after="0" w:line="240" w:lineRule="auto"/>
        <w:rPr>
          <w:rFonts w:ascii="Times New Roman" w:hAnsi="Times New Roman" w:eastAsia="黑体"/>
          <w:sz w:val="28"/>
          <w:szCs w:val="28"/>
        </w:rPr>
      </w:pPr>
      <w:bookmarkStart w:id="156" w:name="_Toc27732541"/>
      <w:bookmarkStart w:id="157" w:name="_Toc30340"/>
      <w:bookmarkStart w:id="158" w:name="_Toc29778"/>
      <w:bookmarkStart w:id="159" w:name="_Toc24866"/>
      <w:bookmarkStart w:id="160" w:name="_Toc4197"/>
      <w:bookmarkStart w:id="161" w:name="_Toc32382"/>
      <w:bookmarkStart w:id="162" w:name="_Toc19766"/>
      <w:bookmarkStart w:id="163" w:name="_Hlk151755351"/>
      <w:r>
        <w:rPr>
          <w:rFonts w:hint="eastAsia" w:ascii="Times New Roman" w:hAnsi="Times New Roman" w:eastAsia="黑体"/>
          <w:sz w:val="28"/>
          <w:szCs w:val="28"/>
        </w:rPr>
        <w:t>7</w:t>
      </w:r>
      <w:r>
        <w:rPr>
          <w:rFonts w:ascii="Times New Roman" w:hAnsi="Times New Roman" w:eastAsia="黑体"/>
          <w:sz w:val="28"/>
          <w:szCs w:val="28"/>
        </w:rPr>
        <w:t>.1</w:t>
      </w:r>
      <w:bookmarkEnd w:id="156"/>
      <w:bookmarkEnd w:id="157"/>
      <w:r>
        <w:rPr>
          <w:rFonts w:ascii="Times New Roman" w:hAnsi="Times New Roman" w:eastAsia="黑体"/>
          <w:sz w:val="28"/>
          <w:szCs w:val="28"/>
        </w:rPr>
        <w:t>毕业情况</w:t>
      </w:r>
      <w:bookmarkEnd w:id="158"/>
      <w:bookmarkEnd w:id="159"/>
      <w:bookmarkEnd w:id="160"/>
      <w:bookmarkEnd w:id="161"/>
      <w:bookmarkEnd w:id="162"/>
    </w:p>
    <w:p>
      <w:pPr>
        <w:spacing w:line="400" w:lineRule="exact"/>
        <w:ind w:firstLine="480" w:firstLineChars="200"/>
        <w:rPr>
          <w:sz w:val="24"/>
          <w:szCs w:val="24"/>
        </w:rPr>
      </w:pPr>
      <w:bookmarkStart w:id="164" w:name="_Toc466566320"/>
      <w:bookmarkStart w:id="165" w:name="_Toc27732543"/>
      <w:r>
        <w:rPr>
          <w:sz w:val="24"/>
          <w:szCs w:val="24"/>
        </w:rPr>
        <w:t>202</w:t>
      </w:r>
      <w:r>
        <w:rPr>
          <w:rFonts w:hint="eastAsia"/>
          <w:sz w:val="24"/>
          <w:szCs w:val="24"/>
        </w:rPr>
        <w:t>3</w:t>
      </w:r>
      <w:r>
        <w:rPr>
          <w:sz w:val="24"/>
          <w:szCs w:val="24"/>
        </w:rPr>
        <w:t>年共有本科毕业生</w:t>
      </w:r>
      <w:r>
        <w:rPr>
          <w:rFonts w:hint="eastAsia"/>
          <w:sz w:val="24"/>
          <w:szCs w:val="24"/>
        </w:rPr>
        <w:t>1227</w:t>
      </w:r>
      <w:r>
        <w:rPr>
          <w:sz w:val="24"/>
          <w:szCs w:val="24"/>
        </w:rPr>
        <w:t>人，实际毕业人数</w:t>
      </w:r>
      <w:r>
        <w:rPr>
          <w:rFonts w:hint="eastAsia"/>
          <w:sz w:val="24"/>
          <w:szCs w:val="24"/>
        </w:rPr>
        <w:t>1227</w:t>
      </w:r>
      <w:r>
        <w:rPr>
          <w:sz w:val="24"/>
          <w:szCs w:val="24"/>
        </w:rPr>
        <w:t>人，毕业率为</w:t>
      </w:r>
      <w:r>
        <w:rPr>
          <w:rFonts w:hint="eastAsia"/>
          <w:sz w:val="24"/>
          <w:szCs w:val="24"/>
        </w:rPr>
        <w:t>100</w:t>
      </w:r>
      <w:r>
        <w:rPr>
          <w:sz w:val="24"/>
          <w:szCs w:val="24"/>
        </w:rPr>
        <w:t>%，学位授予率为</w:t>
      </w:r>
      <w:r>
        <w:rPr>
          <w:rFonts w:hint="eastAsia"/>
          <w:sz w:val="24"/>
          <w:szCs w:val="24"/>
        </w:rPr>
        <w:t>99.67</w:t>
      </w:r>
      <w:r>
        <w:rPr>
          <w:sz w:val="24"/>
          <w:szCs w:val="24"/>
        </w:rPr>
        <w:t>%。</w:t>
      </w:r>
    </w:p>
    <w:p>
      <w:pPr>
        <w:pStyle w:val="3"/>
        <w:spacing w:before="0" w:after="0" w:line="240" w:lineRule="auto"/>
        <w:rPr>
          <w:rFonts w:ascii="Times New Roman" w:hAnsi="Times New Roman" w:eastAsia="黑体"/>
          <w:sz w:val="28"/>
          <w:szCs w:val="28"/>
        </w:rPr>
      </w:pPr>
      <w:bookmarkStart w:id="166" w:name="_Toc27019"/>
      <w:r>
        <w:rPr>
          <w:rFonts w:hint="eastAsia" w:ascii="Times New Roman" w:hAnsi="Times New Roman" w:eastAsia="黑体"/>
          <w:sz w:val="28"/>
          <w:szCs w:val="28"/>
        </w:rPr>
        <w:t>7</w:t>
      </w:r>
      <w:r>
        <w:rPr>
          <w:rFonts w:ascii="Times New Roman" w:hAnsi="Times New Roman" w:eastAsia="黑体"/>
          <w:sz w:val="28"/>
          <w:szCs w:val="28"/>
        </w:rPr>
        <w:t>.2就业情况</w:t>
      </w:r>
      <w:bookmarkEnd w:id="166"/>
    </w:p>
    <w:p>
      <w:pPr>
        <w:widowControl/>
        <w:spacing w:line="400" w:lineRule="exact"/>
        <w:ind w:firstLine="480" w:firstLineChars="200"/>
        <w:textAlignment w:val="center"/>
        <w:rPr>
          <w:b/>
          <w:bCs/>
          <w:kern w:val="0"/>
          <w:szCs w:val="21"/>
          <w:lang w:bidi="ar"/>
        </w:rPr>
      </w:pPr>
      <w:r>
        <w:rPr>
          <w:sz w:val="24"/>
          <w:szCs w:val="24"/>
        </w:rPr>
        <w:t>学校高度重视就业工作，</w:t>
      </w:r>
      <w:r>
        <w:rPr>
          <w:rFonts w:hint="eastAsia"/>
          <w:sz w:val="24"/>
          <w:szCs w:val="24"/>
        </w:rPr>
        <w:t>坚持“以学生为中心，助推毕业生高质量就业”的工作理念，</w:t>
      </w:r>
      <w:r>
        <w:rPr>
          <w:sz w:val="24"/>
          <w:szCs w:val="24"/>
        </w:rPr>
        <w:t>落实</w:t>
      </w:r>
      <w:r>
        <w:rPr>
          <w:rFonts w:hint="eastAsia"/>
          <w:sz w:val="24"/>
          <w:szCs w:val="24"/>
        </w:rPr>
        <w:t>“</w:t>
      </w:r>
      <w:r>
        <w:rPr>
          <w:sz w:val="24"/>
          <w:szCs w:val="24"/>
        </w:rPr>
        <w:t>一把手</w:t>
      </w:r>
      <w:r>
        <w:rPr>
          <w:rFonts w:hint="eastAsia"/>
          <w:sz w:val="24"/>
          <w:szCs w:val="24"/>
        </w:rPr>
        <w:t>”</w:t>
      </w:r>
      <w:r>
        <w:rPr>
          <w:sz w:val="24"/>
          <w:szCs w:val="24"/>
        </w:rPr>
        <w:t>工程，院党政主要负责人亲自参与政策制定、就业辅导与帮扶、毕业生推介等工作，定期召开就业工作专项会议。学校</w:t>
      </w:r>
      <w:r>
        <w:rPr>
          <w:rFonts w:hint="eastAsia"/>
          <w:sz w:val="24"/>
          <w:szCs w:val="24"/>
        </w:rPr>
        <w:t>先后发布</w:t>
      </w:r>
      <w:r>
        <w:rPr>
          <w:sz w:val="24"/>
          <w:szCs w:val="24"/>
        </w:rPr>
        <w:t>《安徽医科大学临床医学院2023届毕业生就业工作实施方案》、《安徽医科大学临床医学院毕业生就业工作考核办法（试行）》等</w:t>
      </w:r>
      <w:r>
        <w:rPr>
          <w:rFonts w:hint="eastAsia"/>
          <w:sz w:val="24"/>
          <w:szCs w:val="24"/>
        </w:rPr>
        <w:t>文件</w:t>
      </w:r>
      <w:r>
        <w:rPr>
          <w:sz w:val="24"/>
          <w:szCs w:val="24"/>
        </w:rPr>
        <w:t>，充分发挥就业工作专班包保责任制的引领作用，推动政策进校园，挖掘企业岗位资源，提供优质就业指导和服务。学校</w:t>
      </w:r>
      <w:r>
        <w:rPr>
          <w:rFonts w:hint="eastAsia"/>
          <w:sz w:val="24"/>
          <w:szCs w:val="24"/>
        </w:rPr>
        <w:t>积极</w:t>
      </w:r>
      <w:r>
        <w:rPr>
          <w:sz w:val="24"/>
          <w:szCs w:val="24"/>
        </w:rPr>
        <w:t>开拓就业岗位，发掘企业资源，先后同省内黄山、潜山、和县等，省外镇江、安吉、永嘉、湖州等地人社或卫健部门建立联系，访企拓岗154家，并与多家用人单位达成合作意向，超额完成既定目标。</w:t>
      </w:r>
      <w:r>
        <w:rPr>
          <w:rFonts w:hint="eastAsia"/>
          <w:sz w:val="24"/>
          <w:szCs w:val="24"/>
        </w:rPr>
        <w:t>学校</w:t>
      </w:r>
      <w:r>
        <w:rPr>
          <w:sz w:val="24"/>
          <w:szCs w:val="24"/>
        </w:rPr>
        <w:t>网站首页设置国家、省和市就业平台链接，及时发布招聘信息和就创业政策公告；安排专人在就业工作群中每日推送岗位</w:t>
      </w:r>
      <w:r>
        <w:rPr>
          <w:rFonts w:hint="eastAsia"/>
          <w:sz w:val="24"/>
          <w:szCs w:val="24"/>
        </w:rPr>
        <w:t>；通过大学生就业协会将重要就业政策和招聘信息在就业协会QQ公众号上同步推送，并接待学生QQ咨询，协助就业指导中心开展各项活动。</w:t>
      </w:r>
      <w:r>
        <w:rPr>
          <w:sz w:val="24"/>
          <w:szCs w:val="24"/>
        </w:rPr>
        <w:t>截至202</w:t>
      </w:r>
      <w:r>
        <w:rPr>
          <w:rFonts w:hint="eastAsia"/>
          <w:sz w:val="24"/>
          <w:szCs w:val="24"/>
        </w:rPr>
        <w:t>3</w:t>
      </w:r>
      <w:r>
        <w:rPr>
          <w:sz w:val="24"/>
          <w:szCs w:val="24"/>
        </w:rPr>
        <w:t>年8月31日，学校应届本科毕业生初次就业率为</w:t>
      </w:r>
      <w:r>
        <w:rPr>
          <w:rFonts w:hint="eastAsia"/>
          <w:sz w:val="24"/>
          <w:szCs w:val="24"/>
        </w:rPr>
        <w:t>91.77</w:t>
      </w:r>
      <w:r>
        <w:rPr>
          <w:sz w:val="24"/>
          <w:szCs w:val="24"/>
        </w:rPr>
        <w:t>%，其中升学</w:t>
      </w:r>
      <w:r>
        <w:rPr>
          <w:rFonts w:hint="eastAsia"/>
          <w:sz w:val="24"/>
          <w:szCs w:val="24"/>
        </w:rPr>
        <w:t>129</w:t>
      </w:r>
      <w:r>
        <w:rPr>
          <w:sz w:val="24"/>
          <w:szCs w:val="24"/>
        </w:rPr>
        <w:t>人，占</w:t>
      </w:r>
      <w:r>
        <w:rPr>
          <w:rFonts w:hint="eastAsia"/>
          <w:sz w:val="24"/>
          <w:szCs w:val="24"/>
        </w:rPr>
        <w:t>10.51</w:t>
      </w:r>
      <w:r>
        <w:rPr>
          <w:sz w:val="24"/>
          <w:szCs w:val="24"/>
        </w:rPr>
        <w:t>%</w:t>
      </w:r>
      <w:r>
        <w:rPr>
          <w:rFonts w:hint="eastAsia"/>
          <w:sz w:val="24"/>
          <w:szCs w:val="24"/>
        </w:rPr>
        <w:t>；困难毕业生71人，实现100 %就业。</w:t>
      </w:r>
    </w:p>
    <w:p>
      <w:pPr>
        <w:pStyle w:val="3"/>
        <w:spacing w:before="0" w:after="0" w:line="240" w:lineRule="auto"/>
        <w:rPr>
          <w:rFonts w:ascii="Times New Roman" w:hAnsi="Times New Roman" w:eastAsia="黑体"/>
          <w:sz w:val="28"/>
          <w:szCs w:val="28"/>
        </w:rPr>
      </w:pPr>
      <w:bookmarkStart w:id="167" w:name="_Toc28869"/>
      <w:bookmarkStart w:id="168" w:name="_Toc26"/>
      <w:bookmarkStart w:id="169" w:name="_Toc23122"/>
      <w:bookmarkStart w:id="170" w:name="_Toc29848"/>
      <w:bookmarkStart w:id="171" w:name="_Toc19830"/>
      <w:bookmarkStart w:id="172" w:name="_Toc2748"/>
      <w:r>
        <w:rPr>
          <w:rFonts w:hint="eastAsia" w:ascii="Times New Roman" w:hAnsi="Times New Roman" w:eastAsia="黑体"/>
          <w:sz w:val="28"/>
          <w:szCs w:val="28"/>
        </w:rPr>
        <w:t>7</w:t>
      </w:r>
      <w:r>
        <w:rPr>
          <w:rFonts w:ascii="Times New Roman" w:hAnsi="Times New Roman" w:eastAsia="黑体"/>
          <w:sz w:val="28"/>
          <w:szCs w:val="28"/>
        </w:rPr>
        <w:t>.3学生获奖情况</w:t>
      </w:r>
      <w:bookmarkEnd w:id="164"/>
      <w:bookmarkEnd w:id="165"/>
      <w:bookmarkEnd w:id="167"/>
      <w:bookmarkEnd w:id="168"/>
      <w:bookmarkEnd w:id="169"/>
      <w:bookmarkEnd w:id="170"/>
      <w:bookmarkEnd w:id="171"/>
      <w:bookmarkEnd w:id="172"/>
    </w:p>
    <w:p>
      <w:pPr>
        <w:spacing w:line="400" w:lineRule="exact"/>
        <w:ind w:firstLine="480" w:firstLineChars="200"/>
        <w:rPr>
          <w:rFonts w:ascii="宋体" w:hAnsi="宋体" w:cs="宋体"/>
          <w:kern w:val="0"/>
          <w:sz w:val="24"/>
          <w:szCs w:val="24"/>
        </w:rPr>
      </w:pPr>
      <w:bookmarkStart w:id="173" w:name="_Toc24682"/>
      <w:bookmarkStart w:id="174" w:name="_Toc7067"/>
      <w:bookmarkStart w:id="175" w:name="_Toc31170"/>
      <w:bookmarkStart w:id="176" w:name="_Toc29841"/>
      <w:bookmarkStart w:id="177" w:name="_Toc26668"/>
      <w:bookmarkStart w:id="178" w:name="_Toc27732544"/>
      <w:r>
        <w:rPr>
          <w:rFonts w:hint="eastAsia" w:ascii="宋体" w:hAnsi="宋体" w:cs="宋体"/>
          <w:bCs/>
          <w:sz w:val="24"/>
          <w:szCs w:val="28"/>
        </w:rPr>
        <w:t>“互联网+”大学生创新创业大赛等各级赛事成绩喜人，学院</w:t>
      </w:r>
      <w:r>
        <w:rPr>
          <w:rFonts w:hint="eastAsia" w:ascii="宋体" w:hAnsi="宋体" w:cs="宋体"/>
          <w:sz w:val="24"/>
          <w:szCs w:val="24"/>
        </w:rPr>
        <w:t>先后开展了2022年“挑战杯”大学生创业计划竞赛、第八届安徽省“互联网+”大学生创新创业大赛、第十三届安徽省百所高校百万大学生科普创意创新大赛校内选拔赛等。共有153个项目参与校赛，比2021年全年增长143%，32个项目参与省赛，其中“挑战杯”“互联网+”获省级银奖3项、铜奖14项，双百大赛获省二等奖6项、三等奖1项。同时为助力青年就业创业，遴选2名优秀团员青年参与省级”扬帆计划”</w:t>
      </w:r>
      <w:r>
        <w:rPr>
          <w:rFonts w:hint="eastAsia" w:ascii="宋体" w:hAnsi="宋体" w:cs="宋体"/>
          <w:kern w:val="0"/>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组织学生先后参加2023年中国长三角啦啦操挑战赛、第十届“挑战杯•华安证券”安徽省大学生课外学术科技作品竞赛、2022-2023年全国啦啦操联赛、安徽省第十五届运动会高校部啦啦操比赛、安徽省第二届大学生诚信主题辩论赛，在各项赛事中均荣获佳绩 。其中，</w:t>
      </w:r>
      <w:bookmarkStart w:id="179" w:name="_Hlk152609491"/>
      <w:r>
        <w:rPr>
          <w:rFonts w:hint="eastAsia" w:ascii="宋体" w:hAnsi="宋体" w:cs="宋体"/>
          <w:sz w:val="24"/>
          <w:szCs w:val="24"/>
        </w:rPr>
        <w:t>2023年中国长三角啦啦操挑战赛在五个项目中荣获国家级冠军，2022-2023年全国啦啦操联赛在三个项目中荣获省级冠军。</w:t>
      </w:r>
      <w:r>
        <w:rPr>
          <w:rFonts w:ascii="宋体" w:hAnsi="宋体" w:cs="宋体"/>
          <w:sz w:val="24"/>
          <w:szCs w:val="24"/>
        </w:rPr>
        <w:t>在第二十五届全国大学生英语竞赛中，2名学生荣获一等奖、10名学生荣获二等奖、16名荣获三等奖；在第六届“讯飞杯”英语大赛中，2名学生荣获一等奖，2名学生荣获三等奖；在第四届“伊利康杯”华东六省一市高等院校医学检验技术专业技能大赛中，荣获团体三等奖、单项金奖1项；在全国大学生数学建模竞赛中，2支参赛队伍荣获徽赛区本科组三等奖。</w:t>
      </w:r>
      <w:bookmarkEnd w:id="179"/>
    </w:p>
    <w:p>
      <w:pPr>
        <w:pStyle w:val="3"/>
        <w:spacing w:before="0" w:after="0" w:line="240" w:lineRule="auto"/>
        <w:rPr>
          <w:rFonts w:ascii="Times New Roman" w:hAnsi="Times New Roman" w:eastAsia="黑体"/>
          <w:sz w:val="28"/>
          <w:szCs w:val="28"/>
        </w:rPr>
      </w:pPr>
      <w:bookmarkStart w:id="180" w:name="_Toc20685"/>
      <w:r>
        <w:rPr>
          <w:rFonts w:hint="eastAsia" w:ascii="Times New Roman" w:hAnsi="Times New Roman" w:eastAsia="黑体"/>
          <w:sz w:val="28"/>
          <w:szCs w:val="28"/>
        </w:rPr>
        <w:t>7</w:t>
      </w:r>
      <w:r>
        <w:rPr>
          <w:rFonts w:ascii="Times New Roman" w:hAnsi="Times New Roman" w:eastAsia="黑体"/>
          <w:sz w:val="28"/>
          <w:szCs w:val="28"/>
        </w:rPr>
        <w:t>.4 学生体质测试</w:t>
      </w:r>
      <w:bookmarkEnd w:id="173"/>
      <w:bookmarkEnd w:id="174"/>
      <w:bookmarkEnd w:id="175"/>
      <w:bookmarkEnd w:id="176"/>
      <w:bookmarkEnd w:id="177"/>
      <w:bookmarkEnd w:id="178"/>
      <w:bookmarkEnd w:id="180"/>
    </w:p>
    <w:p>
      <w:pPr>
        <w:spacing w:line="400" w:lineRule="exact"/>
        <w:ind w:firstLine="480" w:firstLineChars="200"/>
        <w:rPr>
          <w:kern w:val="0"/>
          <w:sz w:val="24"/>
          <w:szCs w:val="24"/>
          <w:shd w:val="clear" w:color="auto" w:fill="FFFFFF"/>
        </w:rPr>
      </w:pPr>
      <w:r>
        <w:rPr>
          <w:kern w:val="0"/>
          <w:sz w:val="24"/>
          <w:szCs w:val="24"/>
          <w:shd w:val="clear" w:color="auto" w:fill="FFFFFF"/>
        </w:rPr>
        <w:t>学校重视学生体能培养，学生身体素质良好，202</w:t>
      </w:r>
      <w:r>
        <w:rPr>
          <w:rFonts w:hint="eastAsia"/>
          <w:kern w:val="0"/>
          <w:sz w:val="24"/>
          <w:szCs w:val="24"/>
          <w:shd w:val="clear" w:color="auto" w:fill="FFFFFF"/>
        </w:rPr>
        <w:t>2</w:t>
      </w:r>
      <w:r>
        <w:rPr>
          <w:kern w:val="0"/>
          <w:sz w:val="24"/>
          <w:szCs w:val="24"/>
          <w:shd w:val="clear" w:color="auto" w:fill="FFFFFF"/>
        </w:rPr>
        <w:t>-202</w:t>
      </w:r>
      <w:r>
        <w:rPr>
          <w:rFonts w:hint="eastAsia"/>
          <w:kern w:val="0"/>
          <w:sz w:val="24"/>
          <w:szCs w:val="24"/>
          <w:shd w:val="clear" w:color="auto" w:fill="FFFFFF"/>
        </w:rPr>
        <w:t>3</w:t>
      </w:r>
      <w:r>
        <w:rPr>
          <w:kern w:val="0"/>
          <w:sz w:val="24"/>
          <w:szCs w:val="24"/>
          <w:shd w:val="clear" w:color="auto" w:fill="FFFFFF"/>
        </w:rPr>
        <w:t>学年我校学生体质测试合格率达9</w:t>
      </w:r>
      <w:r>
        <w:rPr>
          <w:rFonts w:hint="eastAsia"/>
          <w:kern w:val="0"/>
          <w:sz w:val="24"/>
          <w:szCs w:val="24"/>
          <w:shd w:val="clear" w:color="auto" w:fill="FFFFFF"/>
        </w:rPr>
        <w:t>4</w:t>
      </w:r>
      <w:r>
        <w:rPr>
          <w:kern w:val="0"/>
          <w:sz w:val="24"/>
          <w:szCs w:val="24"/>
          <w:shd w:val="clear" w:color="auto" w:fill="FFFFFF"/>
        </w:rPr>
        <w:t>.</w:t>
      </w:r>
      <w:r>
        <w:rPr>
          <w:rFonts w:hint="eastAsia"/>
          <w:kern w:val="0"/>
          <w:sz w:val="24"/>
          <w:szCs w:val="24"/>
          <w:shd w:val="clear" w:color="auto" w:fill="FFFFFF"/>
        </w:rPr>
        <w:t>02</w:t>
      </w:r>
      <w:r>
        <w:rPr>
          <w:kern w:val="0"/>
          <w:sz w:val="24"/>
          <w:szCs w:val="24"/>
          <w:shd w:val="clear" w:color="auto" w:fill="FFFFFF"/>
        </w:rPr>
        <w:t>%。</w:t>
      </w:r>
    </w:p>
    <w:p>
      <w:pPr>
        <w:pStyle w:val="3"/>
        <w:spacing w:before="0" w:after="0" w:line="240" w:lineRule="auto"/>
        <w:rPr>
          <w:rFonts w:ascii="Times New Roman" w:hAnsi="Times New Roman" w:eastAsia="黑体"/>
          <w:sz w:val="28"/>
          <w:szCs w:val="28"/>
        </w:rPr>
      </w:pPr>
      <w:bookmarkStart w:id="181" w:name="_Toc498"/>
      <w:bookmarkStart w:id="182" w:name="_Toc27732548"/>
      <w:r>
        <w:rPr>
          <w:rFonts w:hint="eastAsia" w:ascii="Times New Roman" w:hAnsi="Times New Roman" w:eastAsia="黑体"/>
          <w:sz w:val="28"/>
          <w:szCs w:val="28"/>
        </w:rPr>
        <w:t>7.5应届毕业生就业满意度</w:t>
      </w:r>
      <w:bookmarkEnd w:id="181"/>
    </w:p>
    <w:p>
      <w:pPr>
        <w:rPr>
          <w:rFonts w:eastAsia="黑体"/>
          <w:b/>
          <w:sz w:val="24"/>
          <w:szCs w:val="28"/>
        </w:rPr>
      </w:pPr>
      <w:r>
        <w:rPr>
          <w:rFonts w:hint="eastAsia" w:eastAsia="黑体"/>
          <w:b/>
          <w:sz w:val="24"/>
          <w:szCs w:val="28"/>
        </w:rPr>
        <w:t>7.5.1专业对口率</w:t>
      </w:r>
    </w:p>
    <w:p>
      <w:pPr>
        <w:pStyle w:val="19"/>
        <w:spacing w:before="0" w:beforeAutospacing="0" w:after="0" w:afterAutospacing="0" w:line="400" w:lineRule="exact"/>
        <w:ind w:firstLine="420"/>
        <w:jc w:val="both"/>
        <w:rPr>
          <w:rFonts w:ascii="Times New Roman" w:hAnsi="Times New Roman" w:cs="Times New Roman"/>
          <w:kern w:val="2"/>
        </w:rPr>
      </w:pPr>
      <w:r>
        <w:rPr>
          <w:rFonts w:hint="eastAsia" w:ascii="Times New Roman" w:hAnsi="Times New Roman" w:cs="Times New Roman"/>
          <w:kern w:val="2"/>
        </w:rPr>
        <w:t>据统计，2022届毕业生中88.30%认为目前工作岗位与所学专业相关，基本实现人职匹配；专业建设和人才培养符合社会发展要求，毕业生能较好地发挥自身特长和专业优势，做到人尽其才，实现自身价值。</w:t>
      </w:r>
    </w:p>
    <w:p>
      <w:pPr>
        <w:pStyle w:val="19"/>
        <w:spacing w:before="0" w:beforeAutospacing="0" w:after="0" w:afterAutospacing="0"/>
        <w:ind w:firstLine="420"/>
        <w:jc w:val="both"/>
        <w:rPr>
          <w:rFonts w:ascii="Times New Roman" w:hAnsi="Times New Roman" w:cs="Times New Roman"/>
          <w:kern w:val="2"/>
        </w:rPr>
      </w:pPr>
      <w:r>
        <w:rPr>
          <w:rFonts w:hint="eastAsia"/>
        </w:rPr>
        <w:drawing>
          <wp:anchor distT="0" distB="0" distL="114300" distR="114300" simplePos="0" relativeHeight="251660288" behindDoc="0" locked="0" layoutInCell="1" allowOverlap="1">
            <wp:simplePos x="0" y="0"/>
            <wp:positionH relativeFrom="column">
              <wp:posOffset>901700</wp:posOffset>
            </wp:positionH>
            <wp:positionV relativeFrom="paragraph">
              <wp:posOffset>19050</wp:posOffset>
            </wp:positionV>
            <wp:extent cx="4138930" cy="2418080"/>
            <wp:effectExtent l="0" t="0" r="0" b="0"/>
            <wp:wrapSquare wrapText="bothSides"/>
            <wp:docPr id="2" name="图表 2" descr="7b0a202020202263686172745265734964223a202232303437363130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19"/>
        <w:spacing w:before="0" w:beforeAutospacing="0" w:after="0" w:afterAutospacing="0" w:line="400" w:lineRule="exact"/>
        <w:ind w:firstLine="420"/>
        <w:jc w:val="both"/>
        <w:rPr>
          <w:rFonts w:ascii="Times New Roman" w:hAnsi="Times New Roman" w:cs="Times New Roman"/>
          <w:kern w:val="2"/>
        </w:rPr>
      </w:pPr>
    </w:p>
    <w:p>
      <w:pPr>
        <w:pStyle w:val="19"/>
        <w:spacing w:before="0" w:beforeAutospacing="0" w:after="0" w:afterAutospacing="0" w:line="400" w:lineRule="exact"/>
        <w:ind w:firstLine="420"/>
        <w:jc w:val="both"/>
        <w:rPr>
          <w:rFonts w:ascii="Times New Roman" w:hAnsi="Times New Roman" w:cs="Times New Roman"/>
          <w:kern w:val="2"/>
        </w:rPr>
      </w:pPr>
    </w:p>
    <w:p>
      <w:pPr>
        <w:pStyle w:val="19"/>
        <w:spacing w:before="0" w:beforeAutospacing="0" w:after="0" w:afterAutospacing="0" w:line="400" w:lineRule="exact"/>
        <w:jc w:val="both"/>
        <w:rPr>
          <w:rFonts w:ascii="Times New Roman" w:hAnsi="Times New Roman" w:cs="Times New Roman"/>
          <w:kern w:val="2"/>
        </w:rPr>
      </w:pPr>
    </w:p>
    <w:p>
      <w:pPr>
        <w:pStyle w:val="19"/>
        <w:spacing w:before="0" w:beforeAutospacing="0" w:after="0" w:afterAutospacing="0" w:line="400" w:lineRule="exact"/>
        <w:ind w:firstLine="420"/>
        <w:jc w:val="both"/>
        <w:rPr>
          <w:rFonts w:ascii="Times New Roman" w:hAnsi="Times New Roman" w:cs="Times New Roman"/>
          <w:kern w:val="2"/>
        </w:rPr>
      </w:pPr>
    </w:p>
    <w:p>
      <w:pPr>
        <w:pStyle w:val="19"/>
        <w:spacing w:before="0" w:beforeAutospacing="0" w:after="0" w:afterAutospacing="0" w:line="400" w:lineRule="exact"/>
        <w:jc w:val="both"/>
        <w:rPr>
          <w:rFonts w:ascii="Times New Roman" w:hAnsi="Times New Roman" w:cs="Times New Roman"/>
          <w:kern w:val="2"/>
        </w:rPr>
      </w:pPr>
    </w:p>
    <w:p>
      <w:pPr>
        <w:pStyle w:val="19"/>
        <w:spacing w:before="0" w:beforeAutospacing="0" w:after="0" w:afterAutospacing="0" w:line="400" w:lineRule="exact"/>
        <w:ind w:firstLine="420"/>
        <w:jc w:val="both"/>
        <w:rPr>
          <w:rFonts w:ascii="Times New Roman" w:hAnsi="Times New Roman" w:cs="Times New Roman"/>
          <w:kern w:val="2"/>
        </w:rPr>
      </w:pPr>
    </w:p>
    <w:p>
      <w:pPr>
        <w:pStyle w:val="19"/>
        <w:spacing w:before="0" w:beforeAutospacing="0" w:after="0" w:afterAutospacing="0" w:line="400" w:lineRule="exact"/>
        <w:ind w:firstLine="420"/>
        <w:jc w:val="both"/>
      </w:pPr>
      <w:r>
        <w:t xml:space="preserve"> </w:t>
      </w:r>
      <w:r>
        <w:rPr>
          <w:rFonts w:hint="eastAsia"/>
        </w:rPr>
        <w:t xml:space="preserve">    </w:t>
      </w:r>
    </w:p>
    <w:p>
      <w:pPr>
        <w:pStyle w:val="19"/>
        <w:spacing w:before="0" w:beforeAutospacing="0" w:after="0" w:afterAutospacing="0" w:line="400" w:lineRule="exact"/>
        <w:ind w:firstLine="420"/>
        <w:jc w:val="both"/>
      </w:pPr>
    </w:p>
    <w:p>
      <w:pPr>
        <w:pStyle w:val="19"/>
        <w:spacing w:before="0" w:beforeAutospacing="0" w:after="0" w:afterAutospacing="0" w:line="400" w:lineRule="exact"/>
        <w:ind w:firstLine="420"/>
        <w:jc w:val="both"/>
      </w:pPr>
    </w:p>
    <w:p>
      <w:pPr>
        <w:pStyle w:val="19"/>
        <w:spacing w:before="0" w:beforeAutospacing="0" w:after="0" w:afterAutospacing="0" w:line="400" w:lineRule="exact"/>
        <w:ind w:firstLine="1476" w:firstLineChars="700"/>
        <w:jc w:val="both"/>
        <w:rPr>
          <w:rFonts w:ascii="Times New Roman" w:hAnsi="Times New Roman" w:cs="Times New Roman"/>
          <w:b/>
          <w:bCs/>
          <w:kern w:val="2"/>
          <w:sz w:val="21"/>
          <w:szCs w:val="21"/>
        </w:rPr>
      </w:pPr>
      <w:r>
        <w:rPr>
          <w:rFonts w:hint="eastAsia"/>
          <w:b/>
          <w:bCs/>
          <w:sz w:val="21"/>
          <w:szCs w:val="21"/>
        </w:rPr>
        <w:t>图7-</w:t>
      </w:r>
      <w:r>
        <w:rPr>
          <w:b/>
          <w:bCs/>
          <w:sz w:val="21"/>
          <w:szCs w:val="21"/>
        </w:rPr>
        <w:t>1</w:t>
      </w:r>
      <w:r>
        <w:rPr>
          <w:rFonts w:hint="eastAsia"/>
          <w:b/>
          <w:bCs/>
          <w:sz w:val="21"/>
          <w:szCs w:val="21"/>
        </w:rPr>
        <w:t>安徽医科大学临床医学院2</w:t>
      </w:r>
      <w:r>
        <w:rPr>
          <w:b/>
          <w:bCs/>
          <w:sz w:val="21"/>
          <w:szCs w:val="21"/>
        </w:rPr>
        <w:t>022</w:t>
      </w:r>
      <w:r>
        <w:rPr>
          <w:rFonts w:hint="eastAsia"/>
          <w:b/>
          <w:bCs/>
          <w:sz w:val="21"/>
          <w:szCs w:val="21"/>
        </w:rPr>
        <w:t>届毕业生就业专业对口率</w:t>
      </w:r>
    </w:p>
    <w:p>
      <w:pPr>
        <w:rPr>
          <w:rFonts w:eastAsia="黑体"/>
          <w:b/>
          <w:sz w:val="24"/>
          <w:szCs w:val="28"/>
        </w:rPr>
      </w:pPr>
      <w:r>
        <w:rPr>
          <w:rFonts w:hint="eastAsia" w:eastAsia="黑体"/>
          <w:b/>
          <w:sz w:val="24"/>
          <w:szCs w:val="28"/>
        </w:rPr>
        <w:t>7.5.2就业满意度</w:t>
      </w:r>
    </w:p>
    <w:p>
      <w:pPr>
        <w:pStyle w:val="19"/>
        <w:spacing w:before="0" w:beforeAutospacing="0" w:after="0" w:afterAutospacing="0" w:line="400" w:lineRule="exact"/>
        <w:ind w:firstLine="420"/>
        <w:jc w:val="both"/>
        <w:rPr>
          <w:rFonts w:ascii="Times New Roman" w:hAnsi="Times New Roman" w:cs="Times New Roman"/>
          <w:kern w:val="2"/>
        </w:rPr>
      </w:pPr>
      <w:r>
        <w:rPr>
          <w:rFonts w:hint="eastAsia" w:ascii="Times New Roman" w:hAnsi="Times New Roman" w:cs="Times New Roman"/>
          <w:kern w:val="2"/>
        </w:rPr>
        <w:t>据统计，2022届毕业生对当前的就业现状进行主观判断，总体满意度为91.45%。整体表现为能够结合自身实际对就业市场有理性认识，在工作中态度端正、适应力良好，能够认同工作岗位和工作内容，以饱满的工作热情和高昂的精神状态投入职场，并对自己在工作单位的发展路径形成清晰思路。</w:t>
      </w:r>
    </w:p>
    <w:p>
      <w:pPr>
        <w:spacing w:line="400" w:lineRule="exact"/>
        <w:ind w:left="279" w:leftChars="133" w:firstLine="420" w:firstLineChars="200"/>
        <w:jc w:val="left"/>
      </w:pPr>
      <w:r>
        <w:rPr>
          <w:rFonts w:hint="eastAsia"/>
        </w:rPr>
        <w:drawing>
          <wp:anchor distT="0" distB="0" distL="114300" distR="114300" simplePos="0" relativeHeight="251661312" behindDoc="0" locked="0" layoutInCell="1" allowOverlap="1">
            <wp:simplePos x="0" y="0"/>
            <wp:positionH relativeFrom="column">
              <wp:posOffset>742950</wp:posOffset>
            </wp:positionH>
            <wp:positionV relativeFrom="paragraph">
              <wp:posOffset>5080</wp:posOffset>
            </wp:positionV>
            <wp:extent cx="4043680" cy="2416810"/>
            <wp:effectExtent l="0" t="0" r="0" b="0"/>
            <wp:wrapSquare wrapText="bothSides"/>
            <wp:docPr id="1477997417" name="图表 1477997417" descr="7b0a202020202263686172745265734964223a202232303437363130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left="279" w:leftChars="133" w:firstLine="420" w:firstLineChars="200"/>
        <w:jc w:val="left"/>
      </w:pPr>
    </w:p>
    <w:p>
      <w:pPr>
        <w:spacing w:line="400" w:lineRule="exact"/>
        <w:ind w:firstLine="480" w:firstLineChars="200"/>
        <w:rPr>
          <w:sz w:val="24"/>
          <w:szCs w:val="24"/>
        </w:rPr>
      </w:pPr>
    </w:p>
    <w:p>
      <w:pPr>
        <w:pStyle w:val="19"/>
        <w:spacing w:before="0" w:beforeAutospacing="0" w:after="0" w:afterAutospacing="0" w:line="400" w:lineRule="exact"/>
        <w:ind w:firstLine="1265" w:firstLineChars="600"/>
        <w:jc w:val="both"/>
        <w:rPr>
          <w:rFonts w:ascii="Times New Roman" w:hAnsi="Times New Roman" w:cs="Times New Roman"/>
          <w:b/>
          <w:bCs/>
          <w:kern w:val="2"/>
          <w:sz w:val="21"/>
          <w:szCs w:val="21"/>
        </w:rPr>
      </w:pPr>
      <w:r>
        <w:rPr>
          <w:rFonts w:hint="eastAsia"/>
          <w:b/>
          <w:bCs/>
          <w:sz w:val="21"/>
          <w:szCs w:val="21"/>
        </w:rPr>
        <w:t>图7-</w:t>
      </w:r>
      <w:r>
        <w:rPr>
          <w:b/>
          <w:bCs/>
          <w:sz w:val="21"/>
          <w:szCs w:val="21"/>
        </w:rPr>
        <w:t>2</w:t>
      </w:r>
      <w:r>
        <w:rPr>
          <w:rFonts w:hint="eastAsia"/>
          <w:b/>
          <w:bCs/>
          <w:sz w:val="21"/>
          <w:szCs w:val="21"/>
        </w:rPr>
        <w:t>安徽医科大学临床医学院2</w:t>
      </w:r>
      <w:r>
        <w:rPr>
          <w:b/>
          <w:bCs/>
          <w:sz w:val="21"/>
          <w:szCs w:val="21"/>
        </w:rPr>
        <w:t>022</w:t>
      </w:r>
      <w:r>
        <w:rPr>
          <w:rFonts w:hint="eastAsia"/>
          <w:b/>
          <w:bCs/>
          <w:sz w:val="21"/>
          <w:szCs w:val="21"/>
        </w:rPr>
        <w:t>届毕业生就业满意度</w:t>
      </w:r>
    </w:p>
    <w:p>
      <w:pPr>
        <w:spacing w:line="400" w:lineRule="exact"/>
        <w:ind w:firstLine="480" w:firstLineChars="200"/>
        <w:rPr>
          <w:sz w:val="24"/>
          <w:szCs w:val="24"/>
        </w:rPr>
      </w:pPr>
      <w:r>
        <w:rPr>
          <w:rFonts w:hint="eastAsia"/>
          <w:sz w:val="24"/>
          <w:szCs w:val="24"/>
        </w:rPr>
        <w:t>同时，2022届毕业生的整体协议履约率为93.59%，离职次数集中在1次，为3.85%，整体就业平稳。</w:t>
      </w:r>
    </w:p>
    <w:p>
      <w:pPr>
        <w:rPr>
          <w:rFonts w:eastAsia="黑体"/>
          <w:b/>
          <w:sz w:val="24"/>
          <w:szCs w:val="28"/>
        </w:rPr>
      </w:pPr>
      <w:r>
        <w:rPr>
          <w:rFonts w:hint="eastAsia" w:eastAsia="黑体"/>
          <w:b/>
          <w:sz w:val="24"/>
          <w:szCs w:val="28"/>
        </w:rPr>
        <w:t>7.5.3 用人单位评价</w:t>
      </w:r>
    </w:p>
    <w:p>
      <w:pPr>
        <w:spacing w:line="400" w:lineRule="exact"/>
        <w:ind w:firstLine="480" w:firstLineChars="200"/>
        <w:rPr>
          <w:sz w:val="24"/>
          <w:szCs w:val="24"/>
        </w:rPr>
      </w:pPr>
      <w:r>
        <w:rPr>
          <w:rFonts w:hint="eastAsia"/>
          <w:sz w:val="24"/>
          <w:szCs w:val="24"/>
        </w:rPr>
        <w:t>(一)对毕业生整体满意度</w:t>
      </w:r>
    </w:p>
    <w:p>
      <w:pPr>
        <w:spacing w:line="400" w:lineRule="exact"/>
        <w:ind w:firstLine="480" w:firstLineChars="200"/>
        <w:rPr>
          <w:sz w:val="24"/>
          <w:szCs w:val="24"/>
        </w:rPr>
      </w:pPr>
      <w:r>
        <w:rPr>
          <w:rFonts w:hint="eastAsia" w:ascii="宋体" w:hAnsi="宋体"/>
          <w:sz w:val="24"/>
          <w:szCs w:val="28"/>
        </w:rPr>
        <w:t>据统计，</w:t>
      </w:r>
      <w:r>
        <w:rPr>
          <w:rFonts w:ascii="宋体" w:hAnsi="宋体"/>
          <w:sz w:val="24"/>
          <w:szCs w:val="28"/>
        </w:rPr>
        <w:t>2022年用人单位对本校毕业生的总体满意度为95.24%，</w:t>
      </w:r>
      <w:r>
        <w:rPr>
          <w:rFonts w:hint="eastAsia" w:ascii="宋体" w:hAnsi="宋体"/>
          <w:sz w:val="24"/>
          <w:szCs w:val="28"/>
        </w:rPr>
        <w:t>对毕业生的反映总体良好，对他们的工作能力和职业道德素质予以充分肯定，</w:t>
      </w:r>
      <w:r>
        <w:rPr>
          <w:rFonts w:ascii="宋体" w:hAnsi="宋体"/>
          <w:sz w:val="24"/>
          <w:szCs w:val="28"/>
        </w:rPr>
        <w:t>较为认可学院的培养质量。</w:t>
      </w:r>
      <w:r>
        <w:rPr>
          <w:rFonts w:hint="eastAsia" w:ascii="宋体" w:hAnsi="宋体"/>
          <w:sz w:val="24"/>
          <w:szCs w:val="28"/>
        </w:rPr>
        <w:t>其中，满意的占95.24%，一般满意的占4.76%</w:t>
      </w:r>
      <w:r>
        <w:rPr>
          <w:rFonts w:hint="eastAsia"/>
          <w:sz w:val="24"/>
          <w:szCs w:val="24"/>
        </w:rPr>
        <w:t>。</w:t>
      </w:r>
    </w:p>
    <w:p>
      <w:pPr>
        <w:spacing w:line="400" w:lineRule="exact"/>
        <w:ind w:firstLine="420" w:firstLineChars="200"/>
        <w:rPr>
          <w:rFonts w:ascii="宋体" w:hAnsi="宋体" w:cs="宋体"/>
          <w:sz w:val="28"/>
          <w:szCs w:val="28"/>
        </w:rPr>
      </w:pPr>
      <w:r>
        <w:rPr>
          <w:rFonts w:hint="eastAsia"/>
        </w:rPr>
        <w:drawing>
          <wp:anchor distT="0" distB="0" distL="114300" distR="114300" simplePos="0" relativeHeight="251662336" behindDoc="0" locked="0" layoutInCell="1" allowOverlap="1">
            <wp:simplePos x="0" y="0"/>
            <wp:positionH relativeFrom="margin">
              <wp:posOffset>565150</wp:posOffset>
            </wp:positionH>
            <wp:positionV relativeFrom="paragraph">
              <wp:posOffset>6350</wp:posOffset>
            </wp:positionV>
            <wp:extent cx="4267200" cy="2520950"/>
            <wp:effectExtent l="0" t="0" r="0" b="0"/>
            <wp:wrapSquare wrapText="bothSides"/>
            <wp:docPr id="1279469658" name="图表 1279469658" descr="7b0a202020202263686172745265734964223a202232303437363130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400" w:lineRule="exact"/>
        <w:ind w:firstLine="560" w:firstLineChars="200"/>
        <w:rPr>
          <w:rFonts w:ascii="宋体" w:hAnsi="宋体" w:cs="宋体"/>
          <w:sz w:val="28"/>
          <w:szCs w:val="28"/>
        </w:rPr>
      </w:pPr>
    </w:p>
    <w:p>
      <w:pPr>
        <w:spacing w:line="400" w:lineRule="exact"/>
        <w:ind w:firstLine="560" w:firstLineChars="200"/>
        <w:rPr>
          <w:rFonts w:ascii="宋体" w:hAnsi="宋体" w:cs="宋体"/>
          <w:sz w:val="28"/>
          <w:szCs w:val="28"/>
        </w:rPr>
      </w:pPr>
    </w:p>
    <w:p>
      <w:pPr>
        <w:spacing w:line="400" w:lineRule="exact"/>
        <w:ind w:firstLine="560" w:firstLineChars="200"/>
        <w:rPr>
          <w:rFonts w:ascii="宋体" w:hAnsi="宋体" w:cs="宋体"/>
          <w:sz w:val="28"/>
          <w:szCs w:val="28"/>
        </w:rPr>
      </w:pPr>
    </w:p>
    <w:p>
      <w:pPr>
        <w:spacing w:line="400" w:lineRule="exact"/>
        <w:ind w:firstLine="560" w:firstLineChars="200"/>
        <w:rPr>
          <w:rFonts w:ascii="宋体" w:hAnsi="宋体" w:cs="宋体"/>
          <w:sz w:val="28"/>
          <w:szCs w:val="28"/>
        </w:rPr>
      </w:pPr>
    </w:p>
    <w:p>
      <w:pPr>
        <w:spacing w:line="400" w:lineRule="exact"/>
        <w:ind w:firstLine="560" w:firstLineChars="200"/>
        <w:rPr>
          <w:rFonts w:ascii="宋体" w:hAnsi="宋体" w:cs="宋体"/>
          <w:sz w:val="28"/>
          <w:szCs w:val="28"/>
        </w:rPr>
      </w:pPr>
    </w:p>
    <w:p>
      <w:pPr>
        <w:spacing w:line="400" w:lineRule="exact"/>
        <w:ind w:firstLine="480" w:firstLineChars="200"/>
        <w:rPr>
          <w:sz w:val="24"/>
          <w:szCs w:val="24"/>
        </w:rPr>
      </w:pPr>
    </w:p>
    <w:p>
      <w:pPr>
        <w:spacing w:line="400" w:lineRule="exact"/>
        <w:ind w:firstLine="480" w:firstLineChars="200"/>
        <w:rPr>
          <w:sz w:val="24"/>
          <w:szCs w:val="24"/>
        </w:rPr>
      </w:pPr>
    </w:p>
    <w:p>
      <w:pPr>
        <w:spacing w:line="400" w:lineRule="exact"/>
        <w:ind w:firstLine="480" w:firstLineChars="200"/>
        <w:rPr>
          <w:sz w:val="24"/>
          <w:szCs w:val="24"/>
        </w:rPr>
      </w:pPr>
    </w:p>
    <w:p>
      <w:pPr>
        <w:pStyle w:val="19"/>
        <w:spacing w:before="0" w:beforeAutospacing="0" w:after="0" w:afterAutospacing="0" w:line="400" w:lineRule="exact"/>
        <w:ind w:firstLine="1054" w:firstLineChars="500"/>
        <w:jc w:val="both"/>
        <w:rPr>
          <w:b/>
          <w:bCs/>
          <w:sz w:val="21"/>
          <w:szCs w:val="21"/>
        </w:rPr>
      </w:pPr>
      <w:r>
        <w:rPr>
          <w:rFonts w:hint="eastAsia"/>
          <w:b/>
          <w:bCs/>
          <w:sz w:val="21"/>
          <w:szCs w:val="21"/>
        </w:rPr>
        <w:t>图7-3安徽医科大学临床医学院2022届毕业生用人单位满意度</w:t>
      </w:r>
    </w:p>
    <w:p>
      <w:pPr>
        <w:spacing w:line="400" w:lineRule="exact"/>
        <w:ind w:firstLine="480" w:firstLineChars="200"/>
        <w:rPr>
          <w:sz w:val="24"/>
          <w:szCs w:val="24"/>
        </w:rPr>
      </w:pPr>
      <w:r>
        <w:rPr>
          <w:rFonts w:hint="eastAsia"/>
          <w:sz w:val="24"/>
          <w:szCs w:val="24"/>
        </w:rPr>
        <w:t>(二)对毕业生职业素养的满意度</w:t>
      </w:r>
    </w:p>
    <w:p>
      <w:pPr>
        <w:spacing w:line="400" w:lineRule="exact"/>
        <w:ind w:firstLine="480" w:firstLineChars="200"/>
        <w:rPr>
          <w:sz w:val="24"/>
          <w:szCs w:val="24"/>
        </w:rPr>
      </w:pPr>
      <w:r>
        <w:rPr>
          <w:rFonts w:hint="eastAsia"/>
          <w:sz w:val="24"/>
          <w:szCs w:val="24"/>
        </w:rPr>
        <w:t>据统计，用人单位对2022届毕业生的总体满意度达到97.35%，对毕业生</w:t>
      </w:r>
      <w:r>
        <w:rPr>
          <w:sz w:val="24"/>
          <w:szCs w:val="24"/>
        </w:rPr>
        <w:t>思想品德修养</w:t>
      </w:r>
      <w:r>
        <w:rPr>
          <w:rFonts w:hint="eastAsia"/>
          <w:sz w:val="24"/>
          <w:szCs w:val="24"/>
        </w:rPr>
        <w:t>、专业技能、工作责任意识等方面的满意度均呈较高水平。普遍评价毕业生思想品德修养良好，基础理论与专业知识扎实，毕业生的团队合作与责任意识等得到社会认可；但社交沟通能力、心理承受能力、开拓创新等方面有待进一步加强。</w:t>
      </w:r>
    </w:p>
    <w:tbl>
      <w:tblPr>
        <w:tblStyle w:val="21"/>
        <w:tblpPr w:leftFromText="180" w:rightFromText="180" w:vertAnchor="text" w:horzAnchor="page" w:tblpX="2418" w:tblpY="153"/>
        <w:tblOverlap w:val="never"/>
        <w:tblW w:w="7540" w:type="dxa"/>
        <w:tblInd w:w="0" w:type="dxa"/>
        <w:tblLayout w:type="autofit"/>
        <w:tblCellMar>
          <w:top w:w="0" w:type="dxa"/>
          <w:left w:w="108" w:type="dxa"/>
          <w:bottom w:w="0" w:type="dxa"/>
          <w:right w:w="108" w:type="dxa"/>
        </w:tblCellMar>
      </w:tblPr>
      <w:tblGrid>
        <w:gridCol w:w="2114"/>
        <w:gridCol w:w="1443"/>
        <w:gridCol w:w="1334"/>
        <w:gridCol w:w="1306"/>
        <w:gridCol w:w="1343"/>
      </w:tblGrid>
      <w:tr>
        <w:tblPrEx>
          <w:tblCellMar>
            <w:top w:w="0" w:type="dxa"/>
            <w:left w:w="108" w:type="dxa"/>
            <w:bottom w:w="0" w:type="dxa"/>
            <w:right w:w="108" w:type="dxa"/>
          </w:tblCellMar>
        </w:tblPrEx>
        <w:trPr>
          <w:trHeight w:val="381" w:hRule="atLeast"/>
        </w:trPr>
        <w:tc>
          <w:tcPr>
            <w:tcW w:w="7540" w:type="dxa"/>
            <w:gridSpan w:val="5"/>
            <w:tcBorders>
              <w:top w:val="nil"/>
              <w:left w:val="nil"/>
              <w:bottom w:val="nil"/>
              <w:right w:val="nil"/>
            </w:tcBorders>
            <w:shd w:val="clear" w:color="auto" w:fill="auto"/>
          </w:tcPr>
          <w:p>
            <w:pPr>
              <w:widowControl/>
              <w:jc w:val="center"/>
              <w:textAlignment w:val="top"/>
              <w:rPr>
                <w:b/>
                <w:bCs/>
                <w:kern w:val="0"/>
                <w:szCs w:val="21"/>
                <w:lang w:bidi="ar"/>
              </w:rPr>
            </w:pPr>
            <w:r>
              <w:rPr>
                <w:b/>
                <w:bCs/>
                <w:kern w:val="0"/>
                <w:szCs w:val="21"/>
                <w:lang w:bidi="ar"/>
              </w:rPr>
              <w:t>表</w:t>
            </w:r>
            <w:r>
              <w:rPr>
                <w:rFonts w:hint="eastAsia"/>
                <w:b/>
                <w:bCs/>
                <w:kern w:val="0"/>
                <w:szCs w:val="21"/>
                <w:lang w:bidi="ar"/>
              </w:rPr>
              <w:t>7</w:t>
            </w:r>
            <w:r>
              <w:rPr>
                <w:b/>
                <w:bCs/>
                <w:kern w:val="0"/>
                <w:szCs w:val="21"/>
                <w:lang w:bidi="ar"/>
              </w:rPr>
              <w:t>-1  用人单位对安徽医科大学临床医学院毕业生职业素养评价反馈</w:t>
            </w:r>
          </w:p>
        </w:tc>
      </w:tr>
      <w:tr>
        <w:tblPrEx>
          <w:tblCellMar>
            <w:top w:w="0" w:type="dxa"/>
            <w:left w:w="108" w:type="dxa"/>
            <w:bottom w:w="0" w:type="dxa"/>
            <w:right w:w="108" w:type="dxa"/>
          </w:tblCellMar>
        </w:tblPrEx>
        <w:trPr>
          <w:trHeight w:val="645" w:hRule="atLeast"/>
        </w:trPr>
        <w:tc>
          <w:tcPr>
            <w:tcW w:w="2114"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内容</w:t>
            </w:r>
          </w:p>
        </w:tc>
        <w:tc>
          <w:tcPr>
            <w:tcW w:w="1443"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很好</w:t>
            </w:r>
          </w:p>
        </w:tc>
        <w:tc>
          <w:tcPr>
            <w:tcW w:w="1334"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较好</w:t>
            </w:r>
          </w:p>
        </w:tc>
        <w:tc>
          <w:tcPr>
            <w:tcW w:w="1306"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一般</w:t>
            </w:r>
          </w:p>
        </w:tc>
        <w:tc>
          <w:tcPr>
            <w:tcW w:w="1343" w:type="dxa"/>
            <w:tcBorders>
              <w:top w:val="single" w:color="000000" w:sz="4" w:space="0"/>
              <w:left w:val="single" w:color="000000" w:sz="4" w:space="0"/>
              <w:bottom w:val="single" w:color="000000" w:sz="4" w:space="0"/>
              <w:right w:val="single" w:color="000000" w:sz="4" w:space="0"/>
            </w:tcBorders>
            <w:shd w:val="clear" w:color="auto" w:fill="4F81BD"/>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较差</w:t>
            </w:r>
          </w:p>
        </w:tc>
      </w:tr>
      <w:tr>
        <w:tblPrEx>
          <w:tblCellMar>
            <w:top w:w="0" w:type="dxa"/>
            <w:left w:w="108" w:type="dxa"/>
            <w:bottom w:w="0" w:type="dxa"/>
            <w:right w:w="108" w:type="dxa"/>
          </w:tblCellMar>
        </w:tblPrEx>
        <w:trPr>
          <w:trHeight w:val="650"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思想品德修养</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28.57 %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71.43 %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r>
      <w:tr>
        <w:tblPrEx>
          <w:tblCellMar>
            <w:top w:w="0" w:type="dxa"/>
            <w:left w:w="108" w:type="dxa"/>
            <w:bottom w:w="0" w:type="dxa"/>
            <w:right w:w="108" w:type="dxa"/>
          </w:tblCellMar>
        </w:tblPrEx>
        <w:trPr>
          <w:trHeight w:val="639"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专业技能</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23.81 %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71.43 %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r>
      <w:tr>
        <w:tblPrEx>
          <w:tblCellMar>
            <w:top w:w="0" w:type="dxa"/>
            <w:left w:w="108" w:type="dxa"/>
            <w:bottom w:w="0" w:type="dxa"/>
            <w:right w:w="108" w:type="dxa"/>
          </w:tblCellMar>
        </w:tblPrEx>
        <w:trPr>
          <w:trHeight w:val="662"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工作责任意识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52.38 %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42.86 %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r>
      <w:tr>
        <w:tblPrEx>
          <w:tblCellMar>
            <w:top w:w="0" w:type="dxa"/>
            <w:left w:w="108" w:type="dxa"/>
            <w:bottom w:w="0" w:type="dxa"/>
            <w:right w:w="108" w:type="dxa"/>
          </w:tblCellMar>
        </w:tblPrEx>
        <w:trPr>
          <w:trHeight w:val="650"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团队合作意识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57.14 %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38.10 %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r>
      <w:tr>
        <w:tblPrEx>
          <w:tblCellMar>
            <w:top w:w="0" w:type="dxa"/>
            <w:left w:w="108" w:type="dxa"/>
            <w:bottom w:w="0" w:type="dxa"/>
            <w:right w:w="108" w:type="dxa"/>
          </w:tblCellMar>
        </w:tblPrEx>
        <w:trPr>
          <w:trHeight w:val="628"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工作适应能力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33.33 %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61.90 %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r>
      <w:tr>
        <w:tblPrEx>
          <w:tblCellMar>
            <w:top w:w="0" w:type="dxa"/>
            <w:left w:w="108" w:type="dxa"/>
            <w:bottom w:w="0" w:type="dxa"/>
            <w:right w:w="108" w:type="dxa"/>
          </w:tblCellMar>
        </w:tblPrEx>
        <w:trPr>
          <w:trHeight w:val="662"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组织协调能力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42.86 %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47.62 %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9.52 %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0.00 %</w:t>
            </w:r>
          </w:p>
        </w:tc>
      </w:tr>
      <w:tr>
        <w:tblPrEx>
          <w:tblCellMar>
            <w:top w:w="0" w:type="dxa"/>
            <w:left w:w="108" w:type="dxa"/>
            <w:bottom w:w="0" w:type="dxa"/>
            <w:right w:w="108" w:type="dxa"/>
          </w:tblCellMar>
        </w:tblPrEx>
        <w:trPr>
          <w:trHeight w:val="650"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社交沟通能力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33.33 %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47.62 %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9.52 %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9.52 %</w:t>
            </w:r>
          </w:p>
        </w:tc>
      </w:tr>
      <w:tr>
        <w:tblPrEx>
          <w:tblCellMar>
            <w:top w:w="0" w:type="dxa"/>
            <w:left w:w="108" w:type="dxa"/>
            <w:bottom w:w="0" w:type="dxa"/>
            <w:right w:w="108" w:type="dxa"/>
          </w:tblCellMar>
        </w:tblPrEx>
        <w:trPr>
          <w:trHeight w:val="639"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心理承受能力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28.57 %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57.14 %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9.52 %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4.76 %</w:t>
            </w:r>
          </w:p>
        </w:tc>
      </w:tr>
      <w:tr>
        <w:tblPrEx>
          <w:tblCellMar>
            <w:top w:w="0" w:type="dxa"/>
            <w:left w:w="108" w:type="dxa"/>
            <w:bottom w:w="0" w:type="dxa"/>
            <w:right w:w="108" w:type="dxa"/>
          </w:tblCellMar>
        </w:tblPrEx>
        <w:trPr>
          <w:trHeight w:val="650"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开拓创新能力</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23.81 %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52.38 %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14.29 %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9.52 %</w:t>
            </w:r>
          </w:p>
        </w:tc>
      </w:tr>
      <w:tr>
        <w:tblPrEx>
          <w:tblCellMar>
            <w:top w:w="0" w:type="dxa"/>
            <w:left w:w="108" w:type="dxa"/>
            <w:bottom w:w="0" w:type="dxa"/>
            <w:right w:w="108" w:type="dxa"/>
          </w:tblCellMar>
        </w:tblPrEx>
        <w:trPr>
          <w:trHeight w:val="656" w:hRule="atLeast"/>
        </w:trPr>
        <w:tc>
          <w:tcPr>
            <w:tcW w:w="2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综合评价</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35.98 %</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54.50 %</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6.88 %</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9"/>
                <w:rFonts w:ascii="Times New Roman" w:hAnsi="Times New Roman" w:cs="Times New Roman"/>
                <w:color w:val="auto"/>
                <w:sz w:val="21"/>
                <w:szCs w:val="21"/>
                <w:lang w:bidi="ar"/>
              </w:rPr>
              <w:t>2.65 %</w:t>
            </w:r>
          </w:p>
        </w:tc>
      </w:tr>
    </w:tbl>
    <w:p>
      <w:pPr>
        <w:spacing w:line="400" w:lineRule="exact"/>
        <w:ind w:firstLine="480" w:firstLineChars="200"/>
        <w:rPr>
          <w:sz w:val="24"/>
          <w:szCs w:val="24"/>
        </w:rPr>
      </w:pPr>
      <w:r>
        <w:rPr>
          <w:rFonts w:hint="eastAsia"/>
          <w:sz w:val="24"/>
          <w:szCs w:val="24"/>
        </w:rPr>
        <w:t>（三)对学校人才培养和教学评价反馈</w:t>
      </w:r>
    </w:p>
    <w:p>
      <w:pPr>
        <w:spacing w:line="400" w:lineRule="exact"/>
        <w:ind w:firstLine="480" w:firstLineChars="200"/>
        <w:rPr>
          <w:sz w:val="24"/>
          <w:szCs w:val="24"/>
        </w:rPr>
      </w:pPr>
      <w:r>
        <w:rPr>
          <w:rFonts w:hint="eastAsia"/>
          <w:sz w:val="24"/>
          <w:szCs w:val="24"/>
        </w:rPr>
        <w:t>据统计，</w:t>
      </w:r>
      <w:r>
        <w:rPr>
          <w:sz w:val="24"/>
          <w:szCs w:val="24"/>
        </w:rPr>
        <w:t>2022年用人单位对学院的人才培养和教育教学的意见</w:t>
      </w:r>
      <w:r>
        <w:rPr>
          <w:rFonts w:hint="eastAsia"/>
          <w:sz w:val="24"/>
          <w:szCs w:val="24"/>
        </w:rPr>
        <w:t>主</w:t>
      </w:r>
      <w:r>
        <w:rPr>
          <w:sz w:val="24"/>
          <w:szCs w:val="24"/>
        </w:rPr>
        <w:t>要是强化教学的实习、见习及社会实践环节，加强应用能力的培养（85.71%）；教学内容要</w:t>
      </w:r>
      <w:r>
        <w:rPr>
          <w:rFonts w:hint="eastAsia"/>
          <w:sz w:val="24"/>
          <w:szCs w:val="24"/>
        </w:rPr>
        <w:t>“</w:t>
      </w:r>
      <w:r>
        <w:rPr>
          <w:sz w:val="24"/>
          <w:szCs w:val="24"/>
        </w:rPr>
        <w:t>与时俱进</w:t>
      </w:r>
      <w:r>
        <w:rPr>
          <w:rFonts w:hint="eastAsia"/>
          <w:sz w:val="24"/>
          <w:szCs w:val="24"/>
        </w:rPr>
        <w:t>”</w:t>
      </w:r>
      <w:r>
        <w:rPr>
          <w:sz w:val="24"/>
          <w:szCs w:val="24"/>
        </w:rPr>
        <w:t>，知识传授要结合</w:t>
      </w:r>
      <w:r>
        <w:rPr>
          <w:rFonts w:hint="eastAsia"/>
          <w:sz w:val="24"/>
          <w:szCs w:val="24"/>
        </w:rPr>
        <w:t>“</w:t>
      </w:r>
      <w:r>
        <w:rPr>
          <w:sz w:val="24"/>
          <w:szCs w:val="24"/>
        </w:rPr>
        <w:t>前沿</w:t>
      </w:r>
      <w:r>
        <w:rPr>
          <w:rFonts w:hint="eastAsia"/>
          <w:sz w:val="24"/>
          <w:szCs w:val="24"/>
        </w:rPr>
        <w:t>”</w:t>
      </w:r>
      <w:r>
        <w:rPr>
          <w:sz w:val="24"/>
          <w:szCs w:val="24"/>
        </w:rPr>
        <w:t>，教学方法要灵活多样（76.19%）；加强专业知识的培养和基本技能的训练（66.67%）</w:t>
      </w:r>
      <w:r>
        <w:rPr>
          <w:rFonts w:hint="eastAsia"/>
          <w:sz w:val="24"/>
          <w:szCs w:val="24"/>
        </w:rPr>
        <w:t>。</w:t>
      </w:r>
    </w:p>
    <w:tbl>
      <w:tblPr>
        <w:tblStyle w:val="21"/>
        <w:tblpPr w:leftFromText="180" w:rightFromText="180" w:vertAnchor="text" w:horzAnchor="margin" w:tblpXSpec="center" w:tblpY="104"/>
        <w:tblOverlap w:val="never"/>
        <w:tblW w:w="7776" w:type="dxa"/>
        <w:tblInd w:w="0" w:type="dxa"/>
        <w:tblLayout w:type="autofit"/>
        <w:tblCellMar>
          <w:top w:w="0" w:type="dxa"/>
          <w:left w:w="108" w:type="dxa"/>
          <w:bottom w:w="0" w:type="dxa"/>
          <w:right w:w="108" w:type="dxa"/>
        </w:tblCellMar>
      </w:tblPr>
      <w:tblGrid>
        <w:gridCol w:w="6073"/>
        <w:gridCol w:w="1703"/>
      </w:tblGrid>
      <w:tr>
        <w:tblPrEx>
          <w:tblCellMar>
            <w:top w:w="0" w:type="dxa"/>
            <w:left w:w="108" w:type="dxa"/>
            <w:bottom w:w="0" w:type="dxa"/>
            <w:right w:w="108" w:type="dxa"/>
          </w:tblCellMar>
        </w:tblPrEx>
        <w:trPr>
          <w:trHeight w:val="458" w:hRule="atLeast"/>
        </w:trPr>
        <w:tc>
          <w:tcPr>
            <w:tcW w:w="7776" w:type="dxa"/>
            <w:gridSpan w:val="2"/>
            <w:tcBorders>
              <w:top w:val="nil"/>
              <w:left w:val="nil"/>
              <w:bottom w:val="nil"/>
              <w:right w:val="nil"/>
            </w:tcBorders>
            <w:shd w:val="clear" w:color="auto" w:fill="auto"/>
          </w:tcPr>
          <w:p>
            <w:pPr>
              <w:widowControl/>
              <w:jc w:val="center"/>
              <w:textAlignment w:val="top"/>
              <w:rPr>
                <w:szCs w:val="21"/>
              </w:rPr>
            </w:pPr>
            <w:r>
              <w:rPr>
                <w:b/>
                <w:bCs/>
                <w:kern w:val="0"/>
                <w:szCs w:val="21"/>
                <w:lang w:bidi="ar"/>
              </w:rPr>
              <w:t>表</w:t>
            </w:r>
            <w:r>
              <w:rPr>
                <w:rFonts w:hint="eastAsia"/>
                <w:b/>
                <w:bCs/>
                <w:kern w:val="0"/>
                <w:szCs w:val="21"/>
                <w:lang w:bidi="ar"/>
              </w:rPr>
              <w:t>7</w:t>
            </w:r>
            <w:r>
              <w:rPr>
                <w:b/>
                <w:bCs/>
                <w:kern w:val="0"/>
                <w:szCs w:val="21"/>
                <w:lang w:bidi="ar"/>
              </w:rPr>
              <w:t>-2  用人单位对安徽医科大学临床医学院人才培养和教学方面评价反馈</w:t>
            </w:r>
          </w:p>
        </w:tc>
      </w:tr>
      <w:tr>
        <w:tblPrEx>
          <w:tblCellMar>
            <w:top w:w="0" w:type="dxa"/>
            <w:left w:w="108" w:type="dxa"/>
            <w:bottom w:w="0" w:type="dxa"/>
            <w:right w:w="108" w:type="dxa"/>
          </w:tblCellMar>
        </w:tblPrEx>
        <w:trPr>
          <w:trHeight w:val="580" w:hRule="atLeast"/>
        </w:trPr>
        <w:tc>
          <w:tcPr>
            <w:tcW w:w="6073" w:type="dxa"/>
            <w:tcBorders>
              <w:top w:val="single" w:color="000000" w:sz="4" w:space="0"/>
              <w:left w:val="single" w:color="000000" w:sz="4" w:space="0"/>
              <w:bottom w:val="single" w:color="000000" w:sz="4" w:space="0"/>
              <w:right w:val="single" w:color="000000" w:sz="4" w:space="0"/>
            </w:tcBorders>
            <w:shd w:val="clear" w:color="auto" w:fill="0070C0"/>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内容</w:t>
            </w:r>
          </w:p>
        </w:tc>
        <w:tc>
          <w:tcPr>
            <w:tcW w:w="1703" w:type="dxa"/>
            <w:tcBorders>
              <w:top w:val="single" w:color="000000" w:sz="4" w:space="0"/>
              <w:left w:val="single" w:color="000000" w:sz="4" w:space="0"/>
              <w:bottom w:val="single" w:color="000000" w:sz="4" w:space="0"/>
              <w:right w:val="single" w:color="000000" w:sz="4" w:space="0"/>
            </w:tcBorders>
            <w:shd w:val="clear" w:color="auto" w:fill="0070C0"/>
            <w:vAlign w:val="center"/>
          </w:tcPr>
          <w:p>
            <w:pPr>
              <w:widowControl/>
              <w:jc w:val="center"/>
              <w:textAlignment w:val="center"/>
              <w:rPr>
                <w:rStyle w:val="50"/>
                <w:rFonts w:ascii="Times New Roman" w:hAnsi="Times New Roman" w:cs="Times New Roman"/>
                <w:color w:val="auto"/>
                <w:sz w:val="21"/>
                <w:szCs w:val="21"/>
                <w:lang w:bidi="ar"/>
              </w:rPr>
            </w:pPr>
            <w:r>
              <w:rPr>
                <w:rStyle w:val="50"/>
                <w:rFonts w:ascii="Times New Roman" w:hAnsi="Times New Roman" w:cs="Times New Roman"/>
                <w:color w:val="auto"/>
                <w:sz w:val="21"/>
                <w:szCs w:val="21"/>
                <w:lang w:bidi="ar"/>
              </w:rPr>
              <w:t>比例</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加强基础知识的培养，拓宽知识面</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57.14 %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加强专业知识的培养和基本技能的训练</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66.67 %</w:t>
            </w:r>
          </w:p>
        </w:tc>
      </w:tr>
      <w:tr>
        <w:tblPrEx>
          <w:tblCellMar>
            <w:top w:w="0" w:type="dxa"/>
            <w:left w:w="108" w:type="dxa"/>
            <w:bottom w:w="0" w:type="dxa"/>
            <w:right w:w="108" w:type="dxa"/>
          </w:tblCellMar>
        </w:tblPrEx>
        <w:trPr>
          <w:trHeight w:val="692"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kern w:val="0"/>
                <w:szCs w:val="21"/>
                <w:lang w:bidi="ar"/>
              </w:rPr>
              <w:t>教学内容要“与时俱进”,知识传授要结合“前沿”,教学方法要灵活多样</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76.19 %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kern w:val="0"/>
                <w:szCs w:val="21"/>
                <w:lang w:bidi="ar"/>
              </w:rPr>
              <w:t>强化教学的实习、见习及社会实践环节，加强应用能力的培养</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85.71 %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kern w:val="0"/>
                <w:szCs w:val="21"/>
                <w:lang w:bidi="ar"/>
              </w:rPr>
              <w:t>加强人生观、职业道德和劳动态度的培养</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33.33 %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加强个人道德和修养</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14.29 %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加强人文社会科学素养的训练</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9.52 %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加强文字水平及语言表达能力的培养</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28.57 %</w:t>
            </w:r>
          </w:p>
        </w:tc>
      </w:tr>
      <w:tr>
        <w:tblPrEx>
          <w:tblCellMar>
            <w:top w:w="0" w:type="dxa"/>
            <w:left w:w="108" w:type="dxa"/>
            <w:bottom w:w="0" w:type="dxa"/>
            <w:right w:w="108" w:type="dxa"/>
          </w:tblCellMar>
        </w:tblPrEx>
        <w:trPr>
          <w:trHeight w:val="633"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加强人际沟通能力及协调能力的培养</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47.62 %</w:t>
            </w:r>
          </w:p>
        </w:tc>
      </w:tr>
      <w:tr>
        <w:tblPrEx>
          <w:tblCellMar>
            <w:top w:w="0" w:type="dxa"/>
            <w:left w:w="108" w:type="dxa"/>
            <w:bottom w:w="0" w:type="dxa"/>
            <w:right w:w="108" w:type="dxa"/>
          </w:tblCellMar>
        </w:tblPrEx>
        <w:trPr>
          <w:trHeight w:val="644" w:hRule="atLeast"/>
        </w:trPr>
        <w:tc>
          <w:tcPr>
            <w:tcW w:w="60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szCs w:val="21"/>
              </w:rPr>
            </w:pPr>
            <w:r>
              <w:rPr>
                <w:rStyle w:val="45"/>
                <w:rFonts w:hint="default" w:ascii="Times New Roman" w:hAnsi="Times New Roman" w:cs="Times New Roman"/>
                <w:color w:val="auto"/>
                <w:sz w:val="21"/>
                <w:szCs w:val="21"/>
                <w:lang w:bidi="ar"/>
              </w:rPr>
              <w:t>加强竞争意识和创新能力的培养</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szCs w:val="21"/>
              </w:rPr>
            </w:pPr>
            <w:r>
              <w:rPr>
                <w:rStyle w:val="45"/>
                <w:rFonts w:hint="default" w:ascii="Times New Roman" w:hAnsi="Times New Roman" w:cs="Times New Roman"/>
                <w:color w:val="auto"/>
                <w:sz w:val="21"/>
                <w:szCs w:val="21"/>
                <w:lang w:bidi="ar"/>
              </w:rPr>
              <w:t>42.86 %</w:t>
            </w:r>
          </w:p>
        </w:tc>
      </w:tr>
    </w:tbl>
    <w:p>
      <w:pPr>
        <w:rPr>
          <w:rFonts w:eastAsia="黑体"/>
          <w:b/>
          <w:sz w:val="24"/>
          <w:szCs w:val="28"/>
        </w:rPr>
      </w:pPr>
      <w:r>
        <w:rPr>
          <w:rFonts w:hint="eastAsia" w:eastAsia="黑体"/>
          <w:b/>
          <w:sz w:val="24"/>
          <w:szCs w:val="28"/>
        </w:rPr>
        <w:t>7.5.4毕业生攻读研究生情况</w:t>
      </w:r>
    </w:p>
    <w:bookmarkEnd w:id="163"/>
    <w:bookmarkEnd w:id="182"/>
    <w:p>
      <w:pPr>
        <w:spacing w:line="400" w:lineRule="exact"/>
        <w:ind w:firstLine="480" w:firstLineChars="200"/>
        <w:rPr>
          <w:rFonts w:eastAsia="黑体"/>
          <w:sz w:val="30"/>
          <w:szCs w:val="30"/>
        </w:rPr>
      </w:pPr>
      <w:bookmarkStart w:id="183" w:name="_Toc23178"/>
      <w:bookmarkStart w:id="184" w:name="_Toc11825"/>
      <w:bookmarkStart w:id="185" w:name="_Toc11112"/>
      <w:bookmarkStart w:id="186" w:name="_Toc24780"/>
      <w:bookmarkStart w:id="187" w:name="_Toc29136"/>
      <w:bookmarkStart w:id="188" w:name="_Toc32300"/>
      <w:bookmarkStart w:id="189" w:name="_Toc22938"/>
      <w:bookmarkStart w:id="190" w:name="_Toc22117"/>
      <w:r>
        <w:rPr>
          <w:rFonts w:ascii="宋体" w:hAnsi="宋体" w:cs="宋体"/>
          <w:sz w:val="24"/>
          <w:szCs w:val="24"/>
        </w:rPr>
        <w:t>学院积极鼓励学子考研升学，继续攻读硕士研究生学位。2023届毕业生升学读研共129人，占毕业生总人数的10.51%，临床医学专业升学率为26.05%，创升读硕士研究生人数新高。其中，15人被首都医科大学、南京医科大学、海军军医大学、武汉大学、华中科技大学、厦门大学、东南大学等名校录取。</w:t>
      </w:r>
    </w:p>
    <w:p>
      <w:pPr>
        <w:pStyle w:val="2"/>
        <w:spacing w:before="0" w:after="0" w:line="240" w:lineRule="auto"/>
        <w:rPr>
          <w:rFonts w:eastAsia="黑体"/>
          <w:sz w:val="30"/>
          <w:szCs w:val="30"/>
        </w:rPr>
      </w:pPr>
      <w:bookmarkStart w:id="191" w:name="_Toc9142"/>
      <w:r>
        <w:rPr>
          <w:rFonts w:hint="eastAsia" w:eastAsia="黑体"/>
          <w:sz w:val="30"/>
          <w:szCs w:val="30"/>
        </w:rPr>
        <w:t>八、</w:t>
      </w:r>
      <w:r>
        <w:rPr>
          <w:rFonts w:eastAsia="黑体"/>
          <w:sz w:val="30"/>
          <w:szCs w:val="30"/>
        </w:rPr>
        <w:t>特色发展</w:t>
      </w:r>
      <w:bookmarkEnd w:id="183"/>
      <w:bookmarkEnd w:id="184"/>
      <w:bookmarkEnd w:id="185"/>
      <w:bookmarkEnd w:id="186"/>
      <w:bookmarkEnd w:id="191"/>
    </w:p>
    <w:p>
      <w:pPr>
        <w:spacing w:line="400" w:lineRule="exact"/>
        <w:ind w:firstLine="480" w:firstLineChars="200"/>
        <w:rPr>
          <w:sz w:val="24"/>
          <w:szCs w:val="24"/>
        </w:rPr>
      </w:pPr>
      <w:r>
        <w:rPr>
          <w:sz w:val="24"/>
          <w:szCs w:val="24"/>
        </w:rPr>
        <w:t>2022-2023学年，学院紧紧</w:t>
      </w:r>
      <w:r>
        <w:rPr>
          <w:rFonts w:hint="eastAsia"/>
          <w:sz w:val="24"/>
          <w:szCs w:val="24"/>
        </w:rPr>
        <w:t>围绕“转设与发展”两大主题，按照“夯实基础、深化改革、打造特色、提高质量”的总体原则，</w:t>
      </w:r>
      <w:r>
        <w:rPr>
          <w:sz w:val="24"/>
          <w:szCs w:val="24"/>
        </w:rPr>
        <w:t>努力</w:t>
      </w:r>
      <w:r>
        <w:rPr>
          <w:rFonts w:hint="eastAsia"/>
          <w:sz w:val="24"/>
          <w:szCs w:val="24"/>
        </w:rPr>
        <w:t>夯实</w:t>
      </w:r>
      <w:r>
        <w:rPr>
          <w:sz w:val="24"/>
          <w:szCs w:val="24"/>
        </w:rPr>
        <w:t>教学基础建设，积极</w:t>
      </w:r>
      <w:r>
        <w:rPr>
          <w:rFonts w:hint="eastAsia"/>
          <w:sz w:val="24"/>
          <w:szCs w:val="24"/>
        </w:rPr>
        <w:t>推进</w:t>
      </w:r>
      <w:r>
        <w:rPr>
          <w:sz w:val="24"/>
          <w:szCs w:val="24"/>
        </w:rPr>
        <w:t>人才</w:t>
      </w:r>
      <w:r>
        <w:rPr>
          <w:rFonts w:hint="eastAsia"/>
          <w:sz w:val="24"/>
          <w:szCs w:val="24"/>
        </w:rPr>
        <w:t>培养模式</w:t>
      </w:r>
      <w:r>
        <w:rPr>
          <w:sz w:val="24"/>
          <w:szCs w:val="24"/>
        </w:rPr>
        <w:t>创新</w:t>
      </w:r>
      <w:r>
        <w:rPr>
          <w:rFonts w:hint="eastAsia"/>
          <w:sz w:val="24"/>
          <w:szCs w:val="24"/>
        </w:rPr>
        <w:t>，</w:t>
      </w:r>
      <w:r>
        <w:rPr>
          <w:sz w:val="24"/>
          <w:szCs w:val="24"/>
        </w:rPr>
        <w:t>深化教学方法改革，</w:t>
      </w:r>
      <w:r>
        <w:rPr>
          <w:rFonts w:hint="eastAsia"/>
          <w:sz w:val="24"/>
          <w:szCs w:val="24"/>
        </w:rPr>
        <w:t>取得</w:t>
      </w:r>
      <w:r>
        <w:rPr>
          <w:sz w:val="24"/>
          <w:szCs w:val="24"/>
        </w:rPr>
        <w:t>了一定</w:t>
      </w:r>
      <w:r>
        <w:rPr>
          <w:rFonts w:hint="eastAsia"/>
          <w:sz w:val="24"/>
          <w:szCs w:val="24"/>
        </w:rPr>
        <w:t>进展。</w:t>
      </w:r>
    </w:p>
    <w:p>
      <w:pPr>
        <w:pStyle w:val="3"/>
        <w:spacing w:before="0" w:after="0" w:line="240" w:lineRule="auto"/>
        <w:ind w:left="562" w:hanging="562" w:hangingChars="200"/>
        <w:rPr>
          <w:rFonts w:ascii="Times New Roman" w:hAnsi="Times New Roman"/>
          <w:b w:val="0"/>
          <w:bCs w:val="0"/>
          <w:kern w:val="2"/>
          <w:sz w:val="24"/>
          <w:szCs w:val="24"/>
        </w:rPr>
      </w:pPr>
      <w:bookmarkStart w:id="192" w:name="_Toc10948"/>
      <w:r>
        <w:rPr>
          <w:rFonts w:hint="eastAsia" w:ascii="Times New Roman" w:hAnsi="Times New Roman" w:eastAsia="黑体"/>
          <w:sz w:val="28"/>
          <w:szCs w:val="28"/>
        </w:rPr>
        <w:t>8</w:t>
      </w:r>
      <w:r>
        <w:rPr>
          <w:rFonts w:ascii="Times New Roman" w:hAnsi="Times New Roman" w:eastAsia="黑体"/>
          <w:sz w:val="28"/>
          <w:szCs w:val="28"/>
        </w:rPr>
        <w:t xml:space="preserve">.1 </w:t>
      </w:r>
      <w:r>
        <w:rPr>
          <w:rFonts w:hint="eastAsia" w:ascii="Times New Roman" w:hAnsi="Times New Roman" w:eastAsia="黑体"/>
          <w:sz w:val="28"/>
          <w:szCs w:val="28"/>
        </w:rPr>
        <w:t>打牢教学基础，突出教学中心地位</w:t>
      </w:r>
      <w:r>
        <w:rPr>
          <w:rFonts w:ascii="Times New Roman" w:hAnsi="Times New Roman" w:eastAsia="黑体"/>
          <w:sz w:val="28"/>
          <w:szCs w:val="28"/>
        </w:rPr>
        <w:t>，提升</w:t>
      </w:r>
      <w:r>
        <w:rPr>
          <w:rFonts w:hint="eastAsia" w:ascii="Times New Roman" w:hAnsi="Times New Roman" w:eastAsia="黑体"/>
          <w:sz w:val="28"/>
          <w:szCs w:val="28"/>
        </w:rPr>
        <w:t>医学</w:t>
      </w:r>
      <w:r>
        <w:rPr>
          <w:rFonts w:ascii="Times New Roman" w:hAnsi="Times New Roman" w:eastAsia="黑体"/>
          <w:sz w:val="28"/>
          <w:szCs w:val="28"/>
        </w:rPr>
        <w:t>教学质量</w:t>
      </w:r>
      <w:bookmarkEnd w:id="192"/>
    </w:p>
    <w:p>
      <w:pPr>
        <w:spacing w:line="400" w:lineRule="exact"/>
        <w:rPr>
          <w:sz w:val="24"/>
          <w:szCs w:val="24"/>
        </w:rPr>
      </w:pPr>
      <w:r>
        <w:rPr>
          <w:rFonts w:hint="eastAsia"/>
          <w:sz w:val="24"/>
          <w:szCs w:val="24"/>
        </w:rPr>
        <w:t xml:space="preserve">   </w:t>
      </w:r>
      <w:r>
        <w:rPr>
          <w:rFonts w:hint="eastAsia" w:ascii="宋体" w:hAnsi="宋体" w:cs="宋体"/>
          <w:sz w:val="24"/>
          <w:szCs w:val="24"/>
        </w:rPr>
        <w:t>基础不牢，地动山摇。合作办学5年以来，学院在专业建设、人才引进、实验室建设、实践基地建设、医学生培养等方面走上快速发展的高速路。学院高度重视教学基础建设，2022-2023学年扎实推进专业建设，积极开展医学新专业申报论证，顺利完成康复医学、医学影像技术专业学士学位授予权评审；强化课程与教学资源建设，立项10门校级特色教改课程，启动建设2个临床（护理）教学资源库（案例库），推荐10门省级一流课程；推进完成实验室年度建设任务和实验室安全、文化、环境卫生的标准化建设；编制“教学常规工作早知道”，重视院系二级教学档案建设，梳理教学运行，教材建设，培养方案管理等教学管理规范流程40项，制修订教学管理规章制度70多项。成立教学督导组，全年开展教育教学专项督查督导15次。健全并发挥教学工作委员会、学术委员会重要作用，健全规范教学会议机制。院领导深入教学一线，建立“院领导-二级系部”联系点制度，经常性开展工作调研、听课，参加一线教师座谈会和系部文化活动等。全年学院党委会和行政例会专题讨论教学工作31次。2023年学科竞赛获奖实现省级以上新突破，应届生升学率和就业率再创新高</w:t>
      </w:r>
      <w:r>
        <w:rPr>
          <w:rFonts w:hint="eastAsia"/>
          <w:sz w:val="24"/>
          <w:szCs w:val="24"/>
        </w:rPr>
        <w:t>。</w:t>
      </w:r>
    </w:p>
    <w:p>
      <w:pPr>
        <w:pStyle w:val="3"/>
        <w:spacing w:before="0" w:after="0" w:line="240" w:lineRule="auto"/>
        <w:ind w:left="562" w:hanging="562" w:hangingChars="200"/>
        <w:rPr>
          <w:rFonts w:ascii="Times New Roman" w:hAnsi="Times New Roman" w:eastAsia="黑体"/>
          <w:sz w:val="28"/>
          <w:szCs w:val="28"/>
        </w:rPr>
      </w:pPr>
      <w:bookmarkStart w:id="193" w:name="_Toc27838"/>
      <w:r>
        <w:rPr>
          <w:rFonts w:hint="eastAsia" w:ascii="Times New Roman" w:hAnsi="Times New Roman" w:eastAsia="黑体"/>
          <w:sz w:val="28"/>
          <w:szCs w:val="28"/>
        </w:rPr>
        <w:t>8</w:t>
      </w:r>
      <w:r>
        <w:rPr>
          <w:rFonts w:ascii="Times New Roman" w:hAnsi="Times New Roman" w:eastAsia="黑体"/>
          <w:sz w:val="28"/>
          <w:szCs w:val="28"/>
        </w:rPr>
        <w:t>.2 坚持</w:t>
      </w:r>
      <w:r>
        <w:rPr>
          <w:rFonts w:hint="eastAsia" w:ascii="Times New Roman" w:hAnsi="Times New Roman" w:eastAsia="黑体"/>
          <w:sz w:val="28"/>
          <w:szCs w:val="28"/>
        </w:rPr>
        <w:t>立德树人，</w:t>
      </w:r>
      <w:r>
        <w:rPr>
          <w:rFonts w:ascii="Times New Roman" w:hAnsi="Times New Roman" w:eastAsia="黑体"/>
          <w:sz w:val="28"/>
          <w:szCs w:val="28"/>
        </w:rPr>
        <w:t>注重师德示范引领</w:t>
      </w:r>
      <w:r>
        <w:rPr>
          <w:rFonts w:hint="eastAsia" w:ascii="Times New Roman" w:hAnsi="Times New Roman" w:eastAsia="黑体"/>
          <w:sz w:val="28"/>
          <w:szCs w:val="28"/>
        </w:rPr>
        <w:t>，提升人才培养能力</w:t>
      </w:r>
      <w:bookmarkEnd w:id="193"/>
      <w:r>
        <w:rPr>
          <w:rFonts w:ascii="Times New Roman" w:hAnsi="Times New Roman" w:eastAsia="黑体"/>
          <w:sz w:val="28"/>
          <w:szCs w:val="28"/>
        </w:rPr>
        <w:t xml:space="preserve"> </w:t>
      </w:r>
    </w:p>
    <w:p>
      <w:pPr>
        <w:spacing w:line="400" w:lineRule="exact"/>
        <w:ind w:firstLine="480" w:firstLineChars="200"/>
        <w:rPr>
          <w:sz w:val="24"/>
          <w:szCs w:val="24"/>
        </w:rPr>
      </w:pPr>
      <w:r>
        <w:rPr>
          <w:rFonts w:hint="eastAsia"/>
          <w:sz w:val="24"/>
          <w:szCs w:val="24"/>
        </w:rPr>
        <w:t>学院高度重视人才队伍建设，制修订特聘教授聘任与管理制度，临床教师业务进修管理办法、校聘</w:t>
      </w:r>
      <w:r>
        <w:rPr>
          <w:sz w:val="24"/>
          <w:szCs w:val="24"/>
        </w:rPr>
        <w:t>教授</w:t>
      </w:r>
      <w:r>
        <w:rPr>
          <w:rFonts w:hint="eastAsia"/>
          <w:sz w:val="24"/>
          <w:szCs w:val="24"/>
        </w:rPr>
        <w:t>管理办法。实施“教学管理人员能力提升计划”，围绕新医科教学理念、4个怎么建（专业、课程、实验室、实践基地）、4个怎么改（培养模式、课堂教学、实践教学、考试评价）以及日常教学运行管理等内容，逐项开展专题培训或拓展，快速提升教学管理人员的能力和水平。</w:t>
      </w:r>
      <w:r>
        <w:rPr>
          <w:sz w:val="24"/>
          <w:szCs w:val="24"/>
        </w:rPr>
        <w:t>加快高水平师资队伍引进和培养，完善教学团队建设和管理，充分发挥优秀教学团队在专业建设中的作用。大力引进高端科技领军人才，设立首席专家、特聘教授等岗位。大力引进、培育一批具有重大影响力的高层次人才和团队，吸引地区即将退休、已退休专家学者来院工作生活，担任学科带头人。聘请行业企业优秀专业技术人才、管理人才和高技能人才作为专业建设带头人、担任专兼职教师或“产业教授”，组建“产业教授”资源库。有计划选送教师到企业接受培训、挂职工作和实践锻炼。</w:t>
      </w:r>
    </w:p>
    <w:p>
      <w:pPr>
        <w:pStyle w:val="3"/>
        <w:spacing w:before="0" w:after="0" w:line="240" w:lineRule="auto"/>
        <w:ind w:left="562" w:hanging="562" w:hangingChars="200"/>
        <w:rPr>
          <w:rFonts w:ascii="Times New Roman" w:hAnsi="Times New Roman" w:eastAsia="黑体"/>
          <w:sz w:val="28"/>
          <w:szCs w:val="28"/>
        </w:rPr>
      </w:pPr>
      <w:bookmarkStart w:id="194" w:name="_Toc3282"/>
      <w:r>
        <w:rPr>
          <w:rFonts w:hint="eastAsia" w:ascii="Times New Roman" w:hAnsi="Times New Roman" w:eastAsia="黑体"/>
          <w:sz w:val="28"/>
          <w:szCs w:val="28"/>
        </w:rPr>
        <w:t>8</w:t>
      </w:r>
      <w:r>
        <w:rPr>
          <w:rFonts w:ascii="Times New Roman" w:hAnsi="Times New Roman" w:eastAsia="黑体"/>
          <w:sz w:val="28"/>
          <w:szCs w:val="28"/>
        </w:rPr>
        <w:t>.3坚定理想信念，厚植荣校爱校情怀，培养时代新人</w:t>
      </w:r>
      <w:bookmarkEnd w:id="194"/>
    </w:p>
    <w:p>
      <w:pPr>
        <w:widowControl/>
        <w:spacing w:line="400" w:lineRule="exact"/>
        <w:ind w:firstLine="480" w:firstLineChars="200"/>
        <w:rPr>
          <w:sz w:val="24"/>
          <w:szCs w:val="24"/>
        </w:rPr>
      </w:pPr>
      <w:r>
        <w:rPr>
          <w:rFonts w:hint="eastAsia"/>
          <w:sz w:val="24"/>
          <w:szCs w:val="24"/>
        </w:rPr>
        <w:t>健全“德医双修、全面发展”的育人体系。进一步加强通识选修课建设与管理，彰显选修课育人作用。以医学人文、医学前沿、医学生修炼3个讲堂百场讲座为依托，营造浓厚学习氛围，促进学生全面发展。</w:t>
      </w:r>
      <w:r>
        <w:rPr>
          <w:sz w:val="24"/>
          <w:szCs w:val="24"/>
        </w:rPr>
        <w:t>学风是学校的灵魂，考风建设是学风建设的重要环节。学院把考风考纪教育纳入诚信教育，按国家级考试要求规范考场管理，培训监考队伍，学习监考规范</w:t>
      </w:r>
      <w:r>
        <w:rPr>
          <w:rFonts w:hint="eastAsia"/>
          <w:sz w:val="24"/>
          <w:szCs w:val="24"/>
        </w:rPr>
        <w:t>，</w:t>
      </w:r>
      <w:r>
        <w:rPr>
          <w:sz w:val="24"/>
          <w:szCs w:val="24"/>
        </w:rPr>
        <w:t>对考试作弊者严格依规依纪处理，绝不姑息。考风的端正，有力促进了优良学风的养成。文化是底蕴，对人才培养具有深远的影响，学院十分重视校园文化建设。每年一度的大学生文化艺术节、徽风皖韵进校园、解剖结构绘画作品展、迎新晚会、五月花海等活动，为学院营造了浓厚的文化氛围。教室、宿舍的文化装点，也都起到了润物细无声的作用</w:t>
      </w:r>
      <w:r>
        <w:rPr>
          <w:rFonts w:hint="eastAsia"/>
          <w:sz w:val="24"/>
          <w:szCs w:val="24"/>
        </w:rPr>
        <w:t>。</w:t>
      </w:r>
    </w:p>
    <w:p>
      <w:pPr>
        <w:spacing w:line="400" w:lineRule="exact"/>
        <w:ind w:firstLine="480" w:firstLineChars="200"/>
      </w:pPr>
      <w:r>
        <w:rPr>
          <w:rFonts w:hint="eastAsia"/>
          <w:sz w:val="24"/>
          <w:szCs w:val="24"/>
        </w:rPr>
        <w:t>学生</w:t>
      </w:r>
      <w:r>
        <w:rPr>
          <w:sz w:val="24"/>
          <w:szCs w:val="24"/>
        </w:rPr>
        <w:t>学习成效稳步提升，2023届本科毕业生四级通过率78.7%，六级通过率为37.4%。</w:t>
      </w:r>
      <w:r>
        <w:rPr>
          <w:rFonts w:hint="eastAsia"/>
          <w:sz w:val="24"/>
          <w:szCs w:val="24"/>
        </w:rPr>
        <w:t>2023年应届本科生，平均升学率10.51%，其中临床医学专业考研达线率40.6%</w:t>
      </w:r>
      <w:r>
        <w:rPr>
          <w:sz w:val="24"/>
          <w:szCs w:val="24"/>
        </w:rPr>
        <w:t>，</w:t>
      </w:r>
      <w:r>
        <w:rPr>
          <w:rFonts w:hint="eastAsia"/>
          <w:sz w:val="24"/>
          <w:szCs w:val="24"/>
        </w:rPr>
        <w:t>录取率26.05%。2023届应届本科生初次就业率 91.77%，毕业生去向落实确认率超过全</w:t>
      </w:r>
      <w:r>
        <w:rPr>
          <w:sz w:val="24"/>
          <w:szCs w:val="24"/>
        </w:rPr>
        <w:t>省</w:t>
      </w:r>
      <w:r>
        <w:rPr>
          <w:rFonts w:hint="eastAsia"/>
          <w:sz w:val="24"/>
          <w:szCs w:val="24"/>
        </w:rPr>
        <w:t>平均水平。</w:t>
      </w:r>
    </w:p>
    <w:p>
      <w:pPr>
        <w:pStyle w:val="2"/>
        <w:spacing w:before="0" w:after="0" w:line="240" w:lineRule="auto"/>
        <w:rPr>
          <w:rFonts w:eastAsia="黑体"/>
          <w:sz w:val="30"/>
          <w:szCs w:val="30"/>
        </w:rPr>
      </w:pPr>
      <w:bookmarkStart w:id="195" w:name="_Toc30778"/>
      <w:r>
        <w:rPr>
          <w:rFonts w:hint="eastAsia" w:eastAsia="黑体"/>
          <w:sz w:val="30"/>
          <w:szCs w:val="30"/>
        </w:rPr>
        <w:t>九、</w:t>
      </w:r>
      <w:r>
        <w:rPr>
          <w:rFonts w:eastAsia="黑体"/>
          <w:sz w:val="30"/>
          <w:szCs w:val="30"/>
        </w:rPr>
        <w:t>存在问题及改进计划</w:t>
      </w:r>
      <w:bookmarkEnd w:id="187"/>
      <w:bookmarkEnd w:id="188"/>
      <w:bookmarkEnd w:id="189"/>
      <w:bookmarkEnd w:id="190"/>
      <w:bookmarkEnd w:id="195"/>
    </w:p>
    <w:p>
      <w:pPr>
        <w:pStyle w:val="3"/>
        <w:spacing w:before="0" w:after="0" w:line="240" w:lineRule="auto"/>
        <w:rPr>
          <w:rFonts w:ascii="Times New Roman" w:hAnsi="Times New Roman" w:eastAsia="黑体"/>
          <w:sz w:val="28"/>
          <w:szCs w:val="28"/>
        </w:rPr>
      </w:pPr>
      <w:bookmarkStart w:id="196" w:name="_Toc29654"/>
      <w:r>
        <w:rPr>
          <w:rFonts w:hint="eastAsia" w:ascii="Times New Roman" w:hAnsi="Times New Roman" w:eastAsia="黑体"/>
          <w:sz w:val="28"/>
          <w:szCs w:val="28"/>
        </w:rPr>
        <w:t>9</w:t>
      </w:r>
      <w:r>
        <w:rPr>
          <w:rFonts w:ascii="Times New Roman" w:hAnsi="Times New Roman" w:eastAsia="黑体"/>
          <w:sz w:val="28"/>
          <w:szCs w:val="28"/>
        </w:rPr>
        <w:t>.1存在问题</w:t>
      </w:r>
      <w:bookmarkEnd w:id="196"/>
    </w:p>
    <w:p>
      <w:pPr>
        <w:rPr>
          <w:rFonts w:eastAsia="黑体"/>
          <w:b/>
          <w:sz w:val="24"/>
          <w:szCs w:val="28"/>
        </w:rPr>
      </w:pPr>
      <w:r>
        <w:rPr>
          <w:rFonts w:hint="eastAsia" w:eastAsia="黑体"/>
          <w:b/>
          <w:sz w:val="24"/>
          <w:szCs w:val="28"/>
        </w:rPr>
        <w:t>9</w:t>
      </w:r>
      <w:r>
        <w:rPr>
          <w:rFonts w:eastAsia="黑体"/>
          <w:b/>
          <w:sz w:val="24"/>
          <w:szCs w:val="28"/>
        </w:rPr>
        <w:t>.1.1师资队伍</w:t>
      </w:r>
      <w:r>
        <w:rPr>
          <w:rFonts w:hint="eastAsia" w:eastAsia="黑体"/>
          <w:b/>
          <w:sz w:val="24"/>
          <w:szCs w:val="28"/>
        </w:rPr>
        <w:t>结构有待优化</w:t>
      </w:r>
    </w:p>
    <w:p>
      <w:pPr>
        <w:spacing w:line="400" w:lineRule="exact"/>
        <w:ind w:firstLine="480" w:firstLineChars="200"/>
        <w:rPr>
          <w:kern w:val="0"/>
          <w:sz w:val="24"/>
          <w:szCs w:val="24"/>
        </w:rPr>
      </w:pPr>
      <w:r>
        <w:rPr>
          <w:kern w:val="0"/>
          <w:sz w:val="24"/>
          <w:szCs w:val="24"/>
        </w:rPr>
        <w:t>近几年，学院教师队伍</w:t>
      </w:r>
      <w:r>
        <w:rPr>
          <w:rFonts w:hint="eastAsia"/>
          <w:kern w:val="0"/>
          <w:sz w:val="24"/>
          <w:szCs w:val="24"/>
        </w:rPr>
        <w:t>多数是青年教师</w:t>
      </w:r>
      <w:r>
        <w:rPr>
          <w:kern w:val="0"/>
          <w:sz w:val="24"/>
          <w:szCs w:val="24"/>
        </w:rPr>
        <w:t>，扎实投入</w:t>
      </w:r>
      <w:r>
        <w:rPr>
          <w:rFonts w:hint="eastAsia"/>
          <w:kern w:val="0"/>
          <w:sz w:val="24"/>
          <w:szCs w:val="24"/>
        </w:rPr>
        <w:t>本科</w:t>
      </w:r>
      <w:r>
        <w:rPr>
          <w:kern w:val="0"/>
          <w:sz w:val="24"/>
          <w:szCs w:val="24"/>
        </w:rPr>
        <w:t>教学工作，但是在教师能力提升、教师教学成果、教学研究建设等方面，仍存在</w:t>
      </w:r>
      <w:r>
        <w:rPr>
          <w:rFonts w:hint="eastAsia"/>
          <w:kern w:val="0"/>
          <w:sz w:val="24"/>
          <w:szCs w:val="24"/>
        </w:rPr>
        <w:t>提升空间</w:t>
      </w:r>
      <w:r>
        <w:rPr>
          <w:kern w:val="0"/>
          <w:sz w:val="24"/>
          <w:szCs w:val="24"/>
        </w:rPr>
        <w:t>，青年教师在省部级及以上教学、</w:t>
      </w:r>
      <w:r>
        <w:rPr>
          <w:rFonts w:hint="eastAsia"/>
          <w:kern w:val="0"/>
          <w:sz w:val="24"/>
          <w:szCs w:val="24"/>
        </w:rPr>
        <w:t>科研项目申报</w:t>
      </w:r>
      <w:r>
        <w:rPr>
          <w:kern w:val="0"/>
          <w:sz w:val="24"/>
          <w:szCs w:val="24"/>
        </w:rPr>
        <w:t>上受职称限制，</w:t>
      </w:r>
      <w:r>
        <w:rPr>
          <w:rFonts w:hint="eastAsia"/>
          <w:kern w:val="0"/>
          <w:sz w:val="24"/>
          <w:szCs w:val="24"/>
        </w:rPr>
        <w:t>国家级科研项目</w:t>
      </w:r>
      <w:r>
        <w:rPr>
          <w:kern w:val="0"/>
          <w:sz w:val="24"/>
          <w:szCs w:val="24"/>
        </w:rPr>
        <w:t>也未能有所突破，需要进一步提高我</w:t>
      </w:r>
      <w:r>
        <w:rPr>
          <w:rFonts w:hint="eastAsia"/>
          <w:kern w:val="0"/>
          <w:sz w:val="24"/>
          <w:szCs w:val="24"/>
        </w:rPr>
        <w:t>院</w:t>
      </w:r>
      <w:r>
        <w:rPr>
          <w:kern w:val="0"/>
          <w:sz w:val="24"/>
          <w:szCs w:val="24"/>
        </w:rPr>
        <w:t>高水平师资队伍建设</w:t>
      </w:r>
      <w:r>
        <w:rPr>
          <w:rFonts w:hint="eastAsia"/>
          <w:kern w:val="0"/>
          <w:sz w:val="24"/>
          <w:szCs w:val="24"/>
        </w:rPr>
        <w:t>水平</w:t>
      </w:r>
      <w:r>
        <w:rPr>
          <w:kern w:val="0"/>
          <w:sz w:val="24"/>
          <w:szCs w:val="24"/>
        </w:rPr>
        <w:t>。</w:t>
      </w:r>
    </w:p>
    <w:p>
      <w:pPr>
        <w:rPr>
          <w:rFonts w:eastAsia="黑体"/>
          <w:b/>
          <w:sz w:val="24"/>
          <w:szCs w:val="28"/>
        </w:rPr>
      </w:pPr>
      <w:r>
        <w:rPr>
          <w:rFonts w:hint="eastAsia" w:eastAsia="黑体"/>
          <w:b/>
          <w:sz w:val="24"/>
          <w:szCs w:val="28"/>
        </w:rPr>
        <w:t>9</w:t>
      </w:r>
      <w:r>
        <w:rPr>
          <w:rFonts w:eastAsia="黑体"/>
          <w:b/>
          <w:sz w:val="24"/>
          <w:szCs w:val="28"/>
        </w:rPr>
        <w:t>.1.2质量</w:t>
      </w:r>
      <w:r>
        <w:rPr>
          <w:rFonts w:hint="eastAsia" w:eastAsia="黑体"/>
          <w:b/>
          <w:sz w:val="24"/>
          <w:szCs w:val="28"/>
        </w:rPr>
        <w:t>保障</w:t>
      </w:r>
      <w:r>
        <w:rPr>
          <w:rFonts w:eastAsia="黑体"/>
          <w:b/>
          <w:sz w:val="24"/>
          <w:szCs w:val="28"/>
        </w:rPr>
        <w:t>体系有待完善</w:t>
      </w:r>
    </w:p>
    <w:p>
      <w:pPr>
        <w:spacing w:line="400" w:lineRule="exact"/>
        <w:ind w:firstLine="480" w:firstLineChars="200"/>
        <w:rPr>
          <w:kern w:val="0"/>
          <w:sz w:val="24"/>
          <w:szCs w:val="24"/>
        </w:rPr>
      </w:pPr>
      <w:r>
        <w:rPr>
          <w:kern w:val="0"/>
          <w:sz w:val="24"/>
          <w:szCs w:val="24"/>
        </w:rPr>
        <w:t>人才培养质量应包括培养目标和规格定位、培养过程与管理、培养成果反馈和持续改进的贯穿人才培养全过程的质量认证体系，我</w:t>
      </w:r>
      <w:r>
        <w:rPr>
          <w:rFonts w:hint="eastAsia"/>
          <w:kern w:val="0"/>
          <w:sz w:val="24"/>
          <w:szCs w:val="24"/>
        </w:rPr>
        <w:t>院</w:t>
      </w:r>
      <w:r>
        <w:rPr>
          <w:kern w:val="0"/>
          <w:sz w:val="24"/>
          <w:szCs w:val="24"/>
        </w:rPr>
        <w:t>认真研究</w:t>
      </w:r>
      <w:r>
        <w:rPr>
          <w:rFonts w:hint="eastAsia"/>
          <w:kern w:val="0"/>
          <w:sz w:val="24"/>
          <w:szCs w:val="24"/>
        </w:rPr>
        <w:t>修订</w:t>
      </w:r>
      <w:r>
        <w:rPr>
          <w:kern w:val="0"/>
          <w:sz w:val="24"/>
          <w:szCs w:val="24"/>
        </w:rPr>
        <w:t>各专业人才培养方案，</w:t>
      </w:r>
      <w:r>
        <w:rPr>
          <w:rFonts w:hint="eastAsia"/>
          <w:kern w:val="0"/>
          <w:sz w:val="24"/>
          <w:szCs w:val="24"/>
        </w:rPr>
        <w:t>完善各门课程教学大纲，突出课程思政，同时</w:t>
      </w:r>
      <w:r>
        <w:rPr>
          <w:kern w:val="0"/>
          <w:sz w:val="24"/>
          <w:szCs w:val="24"/>
        </w:rPr>
        <w:t>建立</w:t>
      </w:r>
      <w:r>
        <w:rPr>
          <w:rFonts w:hint="eastAsia"/>
          <w:kern w:val="0"/>
          <w:sz w:val="24"/>
          <w:szCs w:val="24"/>
        </w:rPr>
        <w:t>起</w:t>
      </w:r>
      <w:r>
        <w:rPr>
          <w:kern w:val="0"/>
          <w:sz w:val="24"/>
          <w:szCs w:val="24"/>
        </w:rPr>
        <w:t>“学院-系部-教研室”</w:t>
      </w:r>
      <w:r>
        <w:rPr>
          <w:rFonts w:hint="eastAsia"/>
          <w:sz w:val="24"/>
          <w:szCs w:val="24"/>
        </w:rPr>
        <w:t>三级教学质量管理体系</w:t>
      </w:r>
      <w:r>
        <w:rPr>
          <w:sz w:val="24"/>
          <w:szCs w:val="24"/>
        </w:rPr>
        <w:t>和</w:t>
      </w:r>
      <w:r>
        <w:rPr>
          <w:rFonts w:hint="eastAsia"/>
          <w:sz w:val="24"/>
          <w:szCs w:val="24"/>
        </w:rPr>
        <w:t>“教学管理队伍、专家指导队伍、教学督导队伍、同行评价队伍和学生信息员队伍”“五位一体”的</w:t>
      </w:r>
      <w:r>
        <w:rPr>
          <w:kern w:val="0"/>
          <w:sz w:val="24"/>
          <w:szCs w:val="24"/>
        </w:rPr>
        <w:t>评估体系，从目标定位和过程管理两方面进行质量保障，但是在</w:t>
      </w:r>
      <w:r>
        <w:rPr>
          <w:rFonts w:hint="eastAsia"/>
          <w:kern w:val="0"/>
          <w:sz w:val="24"/>
          <w:szCs w:val="24"/>
        </w:rPr>
        <w:t>人才培养质量的</w:t>
      </w:r>
      <w:r>
        <w:rPr>
          <w:kern w:val="0"/>
          <w:sz w:val="24"/>
          <w:szCs w:val="24"/>
        </w:rPr>
        <w:t>跟踪上尚缺乏有效的载体。</w:t>
      </w:r>
    </w:p>
    <w:p>
      <w:pPr>
        <w:pStyle w:val="3"/>
        <w:spacing w:before="0" w:after="0" w:line="240" w:lineRule="auto"/>
        <w:rPr>
          <w:rFonts w:ascii="Times New Roman" w:hAnsi="Times New Roman" w:eastAsia="黑体"/>
          <w:sz w:val="28"/>
          <w:szCs w:val="28"/>
        </w:rPr>
      </w:pPr>
      <w:bookmarkStart w:id="197" w:name="_Toc10056"/>
      <w:r>
        <w:rPr>
          <w:rFonts w:hint="eastAsia" w:ascii="Times New Roman" w:hAnsi="Times New Roman" w:eastAsia="黑体"/>
          <w:sz w:val="28"/>
          <w:szCs w:val="28"/>
        </w:rPr>
        <w:t>9</w:t>
      </w:r>
      <w:r>
        <w:rPr>
          <w:rFonts w:ascii="Times New Roman" w:hAnsi="Times New Roman" w:eastAsia="黑体"/>
          <w:sz w:val="28"/>
          <w:szCs w:val="28"/>
        </w:rPr>
        <w:t>.2改进计划</w:t>
      </w:r>
      <w:bookmarkEnd w:id="197"/>
    </w:p>
    <w:p>
      <w:pPr>
        <w:rPr>
          <w:rFonts w:eastAsia="黑体"/>
          <w:b/>
          <w:sz w:val="24"/>
          <w:szCs w:val="28"/>
        </w:rPr>
      </w:pPr>
      <w:r>
        <w:rPr>
          <w:rFonts w:hint="eastAsia" w:eastAsia="黑体"/>
          <w:b/>
          <w:sz w:val="24"/>
          <w:szCs w:val="28"/>
        </w:rPr>
        <w:t>9</w:t>
      </w:r>
      <w:r>
        <w:rPr>
          <w:rFonts w:eastAsia="黑体"/>
          <w:b/>
          <w:sz w:val="24"/>
          <w:szCs w:val="28"/>
        </w:rPr>
        <w:t>.2.1提高教师教学能力</w:t>
      </w:r>
    </w:p>
    <w:p>
      <w:pPr>
        <w:spacing w:line="400" w:lineRule="exact"/>
        <w:ind w:firstLine="480" w:firstLineChars="200"/>
        <w:rPr>
          <w:kern w:val="0"/>
          <w:sz w:val="24"/>
          <w:szCs w:val="24"/>
        </w:rPr>
      </w:pPr>
      <w:r>
        <w:rPr>
          <w:kern w:val="0"/>
          <w:sz w:val="24"/>
          <w:szCs w:val="24"/>
        </w:rPr>
        <w:t>以教师教学能力为核心，开展</w:t>
      </w:r>
      <w:r>
        <w:rPr>
          <w:rFonts w:hint="eastAsia"/>
          <w:kern w:val="0"/>
          <w:sz w:val="24"/>
          <w:szCs w:val="24"/>
        </w:rPr>
        <w:t>青年</w:t>
      </w:r>
      <w:r>
        <w:rPr>
          <w:kern w:val="0"/>
          <w:sz w:val="24"/>
          <w:szCs w:val="24"/>
        </w:rPr>
        <w:t>教师</w:t>
      </w:r>
      <w:r>
        <w:rPr>
          <w:rFonts w:hint="eastAsia"/>
          <w:kern w:val="0"/>
          <w:sz w:val="24"/>
          <w:szCs w:val="24"/>
        </w:rPr>
        <w:t>导师制</w:t>
      </w:r>
      <w:r>
        <w:rPr>
          <w:kern w:val="0"/>
          <w:sz w:val="24"/>
          <w:szCs w:val="24"/>
        </w:rPr>
        <w:t>、</w:t>
      </w:r>
      <w:r>
        <w:rPr>
          <w:kern w:val="0"/>
          <w:sz w:val="24"/>
          <w:szCs w:val="24"/>
          <w:shd w:val="clear" w:color="auto" w:fill="FFFFFF"/>
        </w:rPr>
        <w:t>双能双师培养计划</w:t>
      </w:r>
      <w:r>
        <w:rPr>
          <w:rFonts w:hint="eastAsia"/>
          <w:kern w:val="0"/>
          <w:sz w:val="24"/>
          <w:szCs w:val="24"/>
          <w:shd w:val="clear" w:color="auto" w:fill="FFFFFF"/>
        </w:rPr>
        <w:t>、</w:t>
      </w:r>
      <w:r>
        <w:rPr>
          <w:kern w:val="0"/>
          <w:sz w:val="24"/>
          <w:szCs w:val="24"/>
          <w:shd w:val="clear" w:color="auto" w:fill="FFFFFF"/>
        </w:rPr>
        <w:t>青年教师临床进修计划</w:t>
      </w:r>
      <w:r>
        <w:rPr>
          <w:kern w:val="0"/>
          <w:sz w:val="24"/>
          <w:szCs w:val="24"/>
        </w:rPr>
        <w:t>等系列培养培训，实现教师分类精准培养。围绕“金课”建设、课程思政建设，开展教学理论、教学方法和教学研究等专项培训；支持教师提升学历、访学研修，提升教师的专业素养</w:t>
      </w:r>
      <w:r>
        <w:rPr>
          <w:rFonts w:hint="eastAsia"/>
          <w:kern w:val="0"/>
          <w:sz w:val="24"/>
          <w:szCs w:val="24"/>
        </w:rPr>
        <w:t>，同时加大附属医院教学师资培训，提升同质化教学</w:t>
      </w:r>
      <w:r>
        <w:rPr>
          <w:kern w:val="0"/>
          <w:sz w:val="24"/>
          <w:szCs w:val="24"/>
        </w:rPr>
        <w:t>。</w:t>
      </w:r>
      <w:r>
        <w:rPr>
          <w:rFonts w:hint="eastAsia"/>
          <w:kern w:val="0"/>
          <w:sz w:val="24"/>
          <w:szCs w:val="24"/>
        </w:rPr>
        <w:t>争取</w:t>
      </w:r>
      <w:r>
        <w:rPr>
          <w:kern w:val="0"/>
          <w:sz w:val="24"/>
          <w:szCs w:val="24"/>
        </w:rPr>
        <w:t>省级</w:t>
      </w:r>
      <w:r>
        <w:rPr>
          <w:rFonts w:hint="eastAsia"/>
          <w:kern w:val="0"/>
          <w:sz w:val="24"/>
          <w:szCs w:val="24"/>
        </w:rPr>
        <w:t>自然科学基金项目立项</w:t>
      </w:r>
      <w:r>
        <w:rPr>
          <w:kern w:val="0"/>
          <w:sz w:val="24"/>
          <w:szCs w:val="24"/>
        </w:rPr>
        <w:t>，培育</w:t>
      </w:r>
      <w:r>
        <w:rPr>
          <w:rFonts w:hint="eastAsia"/>
          <w:kern w:val="0"/>
          <w:sz w:val="24"/>
          <w:szCs w:val="24"/>
        </w:rPr>
        <w:t>国家级自然科学基金</w:t>
      </w:r>
      <w:r>
        <w:rPr>
          <w:kern w:val="0"/>
          <w:sz w:val="24"/>
          <w:szCs w:val="24"/>
        </w:rPr>
        <w:t>，全面</w:t>
      </w:r>
      <w:r>
        <w:rPr>
          <w:rFonts w:hint="eastAsia"/>
          <w:kern w:val="0"/>
          <w:sz w:val="24"/>
          <w:szCs w:val="24"/>
        </w:rPr>
        <w:t>提升科研素养，</w:t>
      </w:r>
      <w:r>
        <w:rPr>
          <w:kern w:val="0"/>
          <w:sz w:val="24"/>
          <w:szCs w:val="24"/>
        </w:rPr>
        <w:t>加强高素质教师队伍建设。</w:t>
      </w:r>
    </w:p>
    <w:p>
      <w:pPr>
        <w:rPr>
          <w:rFonts w:eastAsia="黑体"/>
          <w:b/>
          <w:sz w:val="24"/>
          <w:szCs w:val="28"/>
        </w:rPr>
      </w:pPr>
      <w:r>
        <w:rPr>
          <w:rFonts w:hint="eastAsia" w:eastAsia="黑体"/>
          <w:b/>
          <w:sz w:val="24"/>
          <w:szCs w:val="28"/>
        </w:rPr>
        <w:t>9</w:t>
      </w:r>
      <w:r>
        <w:rPr>
          <w:rFonts w:eastAsia="黑体"/>
          <w:b/>
          <w:sz w:val="24"/>
          <w:szCs w:val="28"/>
        </w:rPr>
        <w:t>.2.</w:t>
      </w:r>
      <w:r>
        <w:rPr>
          <w:rFonts w:hint="eastAsia" w:eastAsia="黑体"/>
          <w:b/>
          <w:sz w:val="24"/>
          <w:szCs w:val="28"/>
        </w:rPr>
        <w:t>2</w:t>
      </w:r>
      <w:r>
        <w:rPr>
          <w:rFonts w:eastAsia="黑体"/>
          <w:b/>
          <w:sz w:val="24"/>
          <w:szCs w:val="28"/>
        </w:rPr>
        <w:t>提</w:t>
      </w:r>
      <w:r>
        <w:rPr>
          <w:rFonts w:hint="eastAsia" w:eastAsia="黑体"/>
          <w:b/>
          <w:sz w:val="24"/>
          <w:szCs w:val="28"/>
        </w:rPr>
        <w:t>升人才培养质量</w:t>
      </w:r>
    </w:p>
    <w:p>
      <w:pPr>
        <w:spacing w:line="400" w:lineRule="exact"/>
        <w:ind w:firstLine="480" w:firstLineChars="200"/>
        <w:rPr>
          <w:kern w:val="0"/>
          <w:sz w:val="24"/>
          <w:szCs w:val="24"/>
        </w:rPr>
      </w:pPr>
      <w:r>
        <w:rPr>
          <w:kern w:val="0"/>
          <w:sz w:val="24"/>
          <w:szCs w:val="24"/>
        </w:rPr>
        <w:t>利用互联网和信息技术，推进教育质量监控评估体系建设，强化教学过程和教学效果监控，推进课堂即时评教，提升师生相互评价的科学性和信息化水平，不断提升“学院-系部-教研室”</w:t>
      </w:r>
      <w:r>
        <w:rPr>
          <w:rFonts w:hint="eastAsia"/>
          <w:sz w:val="24"/>
          <w:szCs w:val="24"/>
        </w:rPr>
        <w:t>三级教学质量管理体系</w:t>
      </w:r>
      <w:r>
        <w:rPr>
          <w:kern w:val="0"/>
          <w:sz w:val="24"/>
          <w:szCs w:val="24"/>
        </w:rPr>
        <w:t>建设水平</w:t>
      </w:r>
      <w:r>
        <w:rPr>
          <w:rFonts w:hint="eastAsia"/>
          <w:kern w:val="0"/>
          <w:sz w:val="24"/>
          <w:szCs w:val="24"/>
        </w:rPr>
        <w:t>和效果</w:t>
      </w:r>
      <w:r>
        <w:rPr>
          <w:kern w:val="0"/>
          <w:sz w:val="24"/>
          <w:szCs w:val="24"/>
        </w:rPr>
        <w:t>。以顺利转设为当前工作目标，对标合格评估、专业认证要求，逐步形成持续改进、闭环管理的制度与机制建设</w:t>
      </w:r>
      <w:r>
        <w:rPr>
          <w:rFonts w:hint="eastAsia"/>
          <w:kern w:val="0"/>
          <w:sz w:val="24"/>
          <w:szCs w:val="24"/>
        </w:rPr>
        <w:t>，</w:t>
      </w:r>
      <w:r>
        <w:rPr>
          <w:kern w:val="0"/>
          <w:sz w:val="24"/>
          <w:szCs w:val="24"/>
        </w:rPr>
        <w:t>推进</w:t>
      </w:r>
      <w:r>
        <w:rPr>
          <w:rFonts w:hint="eastAsia"/>
          <w:kern w:val="0"/>
          <w:sz w:val="24"/>
          <w:szCs w:val="24"/>
        </w:rPr>
        <w:t>质量文化建设</w:t>
      </w:r>
      <w:r>
        <w:rPr>
          <w:kern w:val="0"/>
          <w:sz w:val="24"/>
          <w:szCs w:val="24"/>
        </w:rPr>
        <w:t>。</w:t>
      </w: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spacing w:line="400" w:lineRule="exact"/>
        <w:rPr>
          <w:kern w:val="0"/>
          <w:sz w:val="24"/>
          <w:szCs w:val="24"/>
        </w:rPr>
      </w:pPr>
    </w:p>
    <w:p>
      <w:pPr>
        <w:pStyle w:val="2"/>
        <w:jc w:val="left"/>
      </w:pPr>
      <w:bookmarkStart w:id="198" w:name="_Toc3813"/>
      <w:bookmarkStart w:id="199" w:name="_Toc16366"/>
      <w:r>
        <w:rPr>
          <w:rFonts w:hint="eastAsia" w:ascii="黑体" w:hAnsi="黑体" w:eastAsia="黑体"/>
          <w:sz w:val="30"/>
          <w:szCs w:val="30"/>
        </w:rPr>
        <w:t>附录</w:t>
      </w:r>
      <w:bookmarkEnd w:id="198"/>
      <w:bookmarkEnd w:id="199"/>
    </w:p>
    <w:p>
      <w:pPr>
        <w:pStyle w:val="3"/>
        <w:jc w:val="center"/>
      </w:pPr>
      <w:bookmarkStart w:id="200" w:name="_Toc6069"/>
      <w:bookmarkStart w:id="201" w:name="_Toc17442"/>
      <w:r>
        <w:rPr>
          <w:rFonts w:hint="eastAsia" w:ascii="黑体" w:hAnsi="黑体" w:eastAsia="黑体"/>
          <w:sz w:val="28"/>
          <w:szCs w:val="28"/>
        </w:rPr>
        <w:t>本科教学质量报告支撑数据</w:t>
      </w:r>
      <w:bookmarkEnd w:id="200"/>
      <w:bookmarkEnd w:id="201"/>
    </w:p>
    <w:p>
      <w:pPr>
        <w:jc w:val="left"/>
      </w:pPr>
      <w:r>
        <w:rPr>
          <w:rFonts w:hint="eastAsia" w:ascii="宋体" w:hAnsi="宋体"/>
          <w:sz w:val="24"/>
          <w:szCs w:val="24"/>
        </w:rPr>
        <w:t>1. 本科生占全日制在校生总数的比例</w:t>
      </w:r>
      <w:r>
        <w:rPr>
          <w:rFonts w:hint="eastAsia"/>
          <w:sz w:val="24"/>
          <w:szCs w:val="24"/>
          <w:u w:val="single"/>
        </w:rPr>
        <w:t>100.00</w:t>
      </w:r>
      <w:r>
        <w:rPr>
          <w:rFonts w:hint="eastAsia" w:ascii="宋体" w:hAnsi="宋体"/>
          <w:sz w:val="24"/>
          <w:szCs w:val="24"/>
          <w:u w:val="single"/>
        </w:rPr>
        <w:t>%</w:t>
      </w:r>
    </w:p>
    <w:p>
      <w:pPr>
        <w:jc w:val="left"/>
      </w:pPr>
      <w:r>
        <w:rPr>
          <w:rFonts w:hint="eastAsia" w:ascii="宋体" w:hAnsi="宋体"/>
          <w:sz w:val="24"/>
          <w:szCs w:val="24"/>
        </w:rPr>
        <w:t>2. 教师数量及结构</w:t>
      </w:r>
    </w:p>
    <w:p>
      <w:pPr>
        <w:jc w:val="left"/>
      </w:pPr>
      <w:r>
        <w:rPr>
          <w:rFonts w:hint="eastAsia" w:ascii="宋体" w:hAnsi="宋体"/>
          <w:sz w:val="24"/>
          <w:szCs w:val="24"/>
        </w:rPr>
        <w:t>（1）全校整体情况</w:t>
      </w:r>
    </w:p>
    <w:p>
      <w:pPr>
        <w:jc w:val="center"/>
      </w:pPr>
      <w:r>
        <w:rPr>
          <w:rFonts w:hint="eastAsia" w:ascii="宋体" w:hAnsi="宋体"/>
          <w:sz w:val="24"/>
          <w:szCs w:val="24"/>
        </w:rPr>
        <w:t>附表1 全校教师数量及结构统计表</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4"/>
        <w:gridCol w:w="2096"/>
        <w:gridCol w:w="1496"/>
        <w:gridCol w:w="1135"/>
        <w:gridCol w:w="1475"/>
        <w:gridCol w:w="1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260" w:type="dxa"/>
            <w:gridSpan w:val="2"/>
            <w:vMerge w:val="restart"/>
            <w:vAlign w:val="center"/>
          </w:tcPr>
          <w:p>
            <w:pPr>
              <w:jc w:val="center"/>
              <w:rPr>
                <w:rFonts w:ascii="宋体" w:hAnsi="宋体"/>
                <w:b/>
                <w:bCs/>
                <w:szCs w:val="21"/>
              </w:rPr>
            </w:pPr>
            <w:r>
              <w:rPr>
                <w:rFonts w:hint="eastAsia" w:ascii="宋体" w:hAnsi="宋体"/>
                <w:b/>
                <w:bCs/>
                <w:szCs w:val="21"/>
              </w:rPr>
              <w:t>项目</w:t>
            </w:r>
          </w:p>
        </w:tc>
        <w:tc>
          <w:tcPr>
            <w:tcW w:w="2631" w:type="dxa"/>
            <w:gridSpan w:val="2"/>
            <w:vAlign w:val="center"/>
          </w:tcPr>
          <w:p>
            <w:pPr>
              <w:jc w:val="center"/>
              <w:rPr>
                <w:b/>
                <w:bCs/>
              </w:rPr>
            </w:pPr>
            <w:r>
              <w:rPr>
                <w:rFonts w:hint="eastAsia" w:ascii="宋体" w:hAnsi="宋体"/>
                <w:b/>
                <w:bCs/>
                <w:szCs w:val="21"/>
              </w:rPr>
              <w:t>专任教师</w:t>
            </w:r>
          </w:p>
        </w:tc>
        <w:tc>
          <w:tcPr>
            <w:tcW w:w="2631" w:type="dxa"/>
            <w:gridSpan w:val="2"/>
            <w:vAlign w:val="center"/>
          </w:tcPr>
          <w:p>
            <w:pPr>
              <w:jc w:val="center"/>
              <w:rPr>
                <w:b/>
                <w:bCs/>
              </w:rPr>
            </w:pPr>
            <w:r>
              <w:rPr>
                <w:rFonts w:hint="eastAsia" w:ascii="宋体" w:hAnsi="宋体"/>
                <w:b/>
                <w:bCs/>
                <w:szCs w:val="21"/>
              </w:rPr>
              <w:t>外聘教师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3260" w:type="dxa"/>
            <w:gridSpan w:val="2"/>
            <w:vMerge w:val="continue"/>
            <w:vAlign w:val="center"/>
          </w:tcPr>
          <w:p>
            <w:pPr>
              <w:jc w:val="center"/>
              <w:rPr>
                <w:b/>
                <w:bCs/>
              </w:rPr>
            </w:pPr>
          </w:p>
        </w:tc>
        <w:tc>
          <w:tcPr>
            <w:tcW w:w="1496" w:type="dxa"/>
            <w:vAlign w:val="center"/>
          </w:tcPr>
          <w:p>
            <w:pPr>
              <w:jc w:val="center"/>
              <w:rPr>
                <w:b/>
                <w:bCs/>
              </w:rPr>
            </w:pPr>
            <w:r>
              <w:rPr>
                <w:rFonts w:hint="eastAsia" w:ascii="宋体" w:hAnsi="宋体"/>
                <w:b/>
                <w:bCs/>
                <w:szCs w:val="21"/>
              </w:rPr>
              <w:t>数量</w:t>
            </w:r>
          </w:p>
        </w:tc>
        <w:tc>
          <w:tcPr>
            <w:tcW w:w="1135" w:type="dxa"/>
            <w:vAlign w:val="center"/>
          </w:tcPr>
          <w:p>
            <w:pPr>
              <w:jc w:val="center"/>
              <w:rPr>
                <w:b/>
                <w:bCs/>
              </w:rPr>
            </w:pPr>
            <w:r>
              <w:rPr>
                <w:rFonts w:hint="eastAsia" w:ascii="宋体" w:hAnsi="宋体"/>
                <w:b/>
                <w:bCs/>
                <w:szCs w:val="21"/>
              </w:rPr>
              <w:t>比例（%）</w:t>
            </w:r>
          </w:p>
        </w:tc>
        <w:tc>
          <w:tcPr>
            <w:tcW w:w="1475" w:type="dxa"/>
            <w:vAlign w:val="center"/>
          </w:tcPr>
          <w:p>
            <w:pPr>
              <w:jc w:val="center"/>
              <w:rPr>
                <w:rFonts w:ascii="宋体" w:hAnsi="宋体"/>
                <w:b/>
                <w:bCs/>
                <w:szCs w:val="21"/>
              </w:rPr>
            </w:pPr>
            <w:r>
              <w:rPr>
                <w:rFonts w:hint="eastAsia" w:ascii="宋体" w:hAnsi="宋体"/>
                <w:b/>
                <w:bCs/>
                <w:szCs w:val="21"/>
              </w:rPr>
              <w:t>数量</w:t>
            </w:r>
          </w:p>
        </w:tc>
        <w:tc>
          <w:tcPr>
            <w:tcW w:w="1156" w:type="dxa"/>
            <w:vAlign w:val="center"/>
          </w:tcPr>
          <w:p>
            <w:pPr>
              <w:jc w:val="center"/>
              <w:rPr>
                <w:b/>
                <w:bCs/>
              </w:rPr>
            </w:pPr>
            <w:r>
              <w:rPr>
                <w:rFonts w:hint="eastAsia" w:ascii="宋体" w:hAnsi="宋体"/>
                <w:b/>
                <w:bCs/>
                <w:szCs w:val="21"/>
              </w:rPr>
              <w:t>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3260" w:type="dxa"/>
            <w:gridSpan w:val="2"/>
            <w:vAlign w:val="center"/>
          </w:tcPr>
          <w:p>
            <w:pPr>
              <w:jc w:val="center"/>
            </w:pPr>
            <w:r>
              <w:rPr>
                <w:rFonts w:hint="eastAsia" w:ascii="宋体" w:hAnsi="宋体"/>
                <w:b/>
                <w:szCs w:val="21"/>
              </w:rPr>
              <w:t>总计</w:t>
            </w:r>
          </w:p>
        </w:tc>
        <w:tc>
          <w:tcPr>
            <w:tcW w:w="1496" w:type="dxa"/>
            <w:vAlign w:val="center"/>
          </w:tcPr>
          <w:p>
            <w:pPr>
              <w:jc w:val="center"/>
            </w:pPr>
            <w:r>
              <w:rPr>
                <w:rFonts w:hint="eastAsia"/>
              </w:rPr>
              <w:t>407</w:t>
            </w:r>
          </w:p>
        </w:tc>
        <w:tc>
          <w:tcPr>
            <w:tcW w:w="1135" w:type="dxa"/>
            <w:vAlign w:val="center"/>
          </w:tcPr>
          <w:p>
            <w:pPr>
              <w:jc w:val="center"/>
            </w:pPr>
            <w:r>
              <w:rPr>
                <w:rFonts w:hint="eastAsia" w:ascii="宋体" w:hAnsi="宋体"/>
                <w:szCs w:val="21"/>
              </w:rPr>
              <w:t>/</w:t>
            </w:r>
          </w:p>
        </w:tc>
        <w:tc>
          <w:tcPr>
            <w:tcW w:w="1475" w:type="dxa"/>
            <w:vAlign w:val="center"/>
          </w:tcPr>
          <w:p>
            <w:pPr>
              <w:jc w:val="center"/>
              <w:rPr>
                <w:rFonts w:ascii="宋体" w:hAnsi="宋体"/>
                <w:szCs w:val="21"/>
              </w:rPr>
            </w:pPr>
            <w:r>
              <w:rPr>
                <w:rFonts w:hint="eastAsia"/>
              </w:rPr>
              <w:t>267</w:t>
            </w:r>
          </w:p>
        </w:tc>
        <w:tc>
          <w:tcPr>
            <w:tcW w:w="1156" w:type="dxa"/>
            <w:vAlign w:val="center"/>
          </w:tcPr>
          <w:p>
            <w:pPr>
              <w:jc w:val="cente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b/>
                <w:szCs w:val="21"/>
              </w:rPr>
              <w:t>职称</w:t>
            </w:r>
          </w:p>
        </w:tc>
        <w:tc>
          <w:tcPr>
            <w:tcW w:w="2096" w:type="dxa"/>
            <w:vAlign w:val="center"/>
          </w:tcPr>
          <w:p>
            <w:pPr>
              <w:jc w:val="center"/>
            </w:pPr>
            <w:r>
              <w:rPr>
                <w:rFonts w:hint="eastAsia" w:ascii="宋体" w:hAnsi="宋体"/>
                <w:b/>
                <w:szCs w:val="21"/>
              </w:rPr>
              <w:t>正高级</w:t>
            </w:r>
          </w:p>
        </w:tc>
        <w:tc>
          <w:tcPr>
            <w:tcW w:w="1496" w:type="dxa"/>
            <w:vAlign w:val="center"/>
          </w:tcPr>
          <w:p>
            <w:pPr>
              <w:jc w:val="center"/>
            </w:pPr>
            <w:r>
              <w:rPr>
                <w:rFonts w:hint="eastAsia"/>
              </w:rPr>
              <w:t>49</w:t>
            </w:r>
          </w:p>
        </w:tc>
        <w:tc>
          <w:tcPr>
            <w:tcW w:w="1135" w:type="dxa"/>
            <w:vAlign w:val="center"/>
          </w:tcPr>
          <w:p>
            <w:pPr>
              <w:jc w:val="center"/>
            </w:pPr>
            <w:r>
              <w:rPr>
                <w:rFonts w:hint="eastAsia"/>
              </w:rPr>
              <w:t>12.04</w:t>
            </w:r>
          </w:p>
        </w:tc>
        <w:tc>
          <w:tcPr>
            <w:tcW w:w="1475" w:type="dxa"/>
            <w:vAlign w:val="center"/>
          </w:tcPr>
          <w:p>
            <w:pPr>
              <w:jc w:val="center"/>
            </w:pPr>
            <w:r>
              <w:rPr>
                <w:rFonts w:hint="eastAsia"/>
              </w:rPr>
              <w:t>23</w:t>
            </w:r>
          </w:p>
        </w:tc>
        <w:tc>
          <w:tcPr>
            <w:tcW w:w="1156" w:type="dxa"/>
            <w:vAlign w:val="center"/>
          </w:tcPr>
          <w:p>
            <w:pPr>
              <w:jc w:val="center"/>
            </w:pPr>
            <w:r>
              <w:rPr>
                <w:rFonts w:hint="eastAsia"/>
              </w:rPr>
              <w:t>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其中教授</w:t>
            </w:r>
          </w:p>
        </w:tc>
        <w:tc>
          <w:tcPr>
            <w:tcW w:w="1496" w:type="dxa"/>
            <w:vAlign w:val="center"/>
          </w:tcPr>
          <w:p>
            <w:pPr>
              <w:jc w:val="center"/>
            </w:pPr>
            <w:r>
              <w:rPr>
                <w:rFonts w:hint="eastAsia"/>
              </w:rPr>
              <w:t>39</w:t>
            </w:r>
          </w:p>
        </w:tc>
        <w:tc>
          <w:tcPr>
            <w:tcW w:w="1135" w:type="dxa"/>
            <w:vAlign w:val="center"/>
          </w:tcPr>
          <w:p>
            <w:pPr>
              <w:jc w:val="center"/>
            </w:pPr>
            <w:r>
              <w:rPr>
                <w:rFonts w:hint="eastAsia"/>
              </w:rPr>
              <w:t>9.58</w:t>
            </w:r>
          </w:p>
        </w:tc>
        <w:tc>
          <w:tcPr>
            <w:tcW w:w="1475" w:type="dxa"/>
            <w:vAlign w:val="center"/>
          </w:tcPr>
          <w:p>
            <w:pPr>
              <w:jc w:val="center"/>
            </w:pPr>
            <w:r>
              <w:rPr>
                <w:rFonts w:hint="eastAsia"/>
              </w:rPr>
              <w:t>12</w:t>
            </w:r>
          </w:p>
        </w:tc>
        <w:tc>
          <w:tcPr>
            <w:tcW w:w="1156" w:type="dxa"/>
            <w:vAlign w:val="center"/>
          </w:tcPr>
          <w:p>
            <w:pPr>
              <w:jc w:val="center"/>
            </w:pPr>
            <w:r>
              <w:rPr>
                <w:rFonts w:hint="eastAsia"/>
              </w:rP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副高级</w:t>
            </w:r>
          </w:p>
        </w:tc>
        <w:tc>
          <w:tcPr>
            <w:tcW w:w="1496" w:type="dxa"/>
            <w:vAlign w:val="center"/>
          </w:tcPr>
          <w:p>
            <w:pPr>
              <w:jc w:val="center"/>
            </w:pPr>
            <w:r>
              <w:rPr>
                <w:rFonts w:hint="eastAsia"/>
              </w:rPr>
              <w:t>98</w:t>
            </w:r>
          </w:p>
        </w:tc>
        <w:tc>
          <w:tcPr>
            <w:tcW w:w="1135" w:type="dxa"/>
            <w:vAlign w:val="center"/>
          </w:tcPr>
          <w:p>
            <w:pPr>
              <w:jc w:val="center"/>
            </w:pPr>
            <w:r>
              <w:rPr>
                <w:rFonts w:hint="eastAsia"/>
              </w:rPr>
              <w:t>24.08</w:t>
            </w:r>
          </w:p>
        </w:tc>
        <w:tc>
          <w:tcPr>
            <w:tcW w:w="1475" w:type="dxa"/>
            <w:vAlign w:val="center"/>
          </w:tcPr>
          <w:p>
            <w:pPr>
              <w:jc w:val="center"/>
            </w:pPr>
            <w:r>
              <w:rPr>
                <w:rFonts w:hint="eastAsia"/>
              </w:rPr>
              <w:t>83</w:t>
            </w:r>
          </w:p>
        </w:tc>
        <w:tc>
          <w:tcPr>
            <w:tcW w:w="1156" w:type="dxa"/>
            <w:vAlign w:val="center"/>
          </w:tcPr>
          <w:p>
            <w:pPr>
              <w:jc w:val="center"/>
            </w:pPr>
            <w:r>
              <w:rPr>
                <w:rFonts w:hint="eastAsia"/>
              </w:rPr>
              <w:t>31.09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其中副教授</w:t>
            </w:r>
          </w:p>
        </w:tc>
        <w:tc>
          <w:tcPr>
            <w:tcW w:w="1496" w:type="dxa"/>
            <w:vAlign w:val="center"/>
          </w:tcPr>
          <w:p>
            <w:pPr>
              <w:jc w:val="center"/>
            </w:pPr>
            <w:r>
              <w:rPr>
                <w:rFonts w:hint="eastAsia"/>
              </w:rPr>
              <w:t>67</w:t>
            </w:r>
          </w:p>
        </w:tc>
        <w:tc>
          <w:tcPr>
            <w:tcW w:w="1135" w:type="dxa"/>
            <w:vAlign w:val="center"/>
          </w:tcPr>
          <w:p>
            <w:pPr>
              <w:jc w:val="center"/>
            </w:pPr>
            <w:r>
              <w:rPr>
                <w:rFonts w:hint="eastAsia"/>
              </w:rPr>
              <w:t>16.46</w:t>
            </w:r>
          </w:p>
        </w:tc>
        <w:tc>
          <w:tcPr>
            <w:tcW w:w="1475" w:type="dxa"/>
            <w:vAlign w:val="center"/>
          </w:tcPr>
          <w:p>
            <w:pPr>
              <w:jc w:val="center"/>
            </w:pPr>
            <w:r>
              <w:rPr>
                <w:rFonts w:hint="eastAsia"/>
              </w:rPr>
              <w:t>43</w:t>
            </w:r>
          </w:p>
        </w:tc>
        <w:tc>
          <w:tcPr>
            <w:tcW w:w="1156" w:type="dxa"/>
            <w:vAlign w:val="center"/>
          </w:tcPr>
          <w:p>
            <w:pPr>
              <w:jc w:val="center"/>
            </w:pPr>
            <w:r>
              <w:rPr>
                <w:rFonts w:hint="eastAsia"/>
              </w:rPr>
              <w:t>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中级</w:t>
            </w:r>
          </w:p>
        </w:tc>
        <w:tc>
          <w:tcPr>
            <w:tcW w:w="1496" w:type="dxa"/>
            <w:vAlign w:val="center"/>
          </w:tcPr>
          <w:p>
            <w:pPr>
              <w:jc w:val="center"/>
            </w:pPr>
            <w:r>
              <w:rPr>
                <w:rFonts w:hint="eastAsia"/>
              </w:rPr>
              <w:t>83</w:t>
            </w:r>
          </w:p>
        </w:tc>
        <w:tc>
          <w:tcPr>
            <w:tcW w:w="1135" w:type="dxa"/>
            <w:vAlign w:val="center"/>
          </w:tcPr>
          <w:p>
            <w:pPr>
              <w:jc w:val="center"/>
            </w:pPr>
            <w:r>
              <w:rPr>
                <w:rFonts w:hint="eastAsia"/>
              </w:rPr>
              <w:t>20.39</w:t>
            </w:r>
          </w:p>
        </w:tc>
        <w:tc>
          <w:tcPr>
            <w:tcW w:w="1475" w:type="dxa"/>
            <w:vAlign w:val="center"/>
          </w:tcPr>
          <w:p>
            <w:pPr>
              <w:jc w:val="center"/>
            </w:pPr>
            <w:r>
              <w:rPr>
                <w:rFonts w:hint="eastAsia"/>
              </w:rPr>
              <w:t>110</w:t>
            </w:r>
          </w:p>
        </w:tc>
        <w:tc>
          <w:tcPr>
            <w:tcW w:w="1156" w:type="dxa"/>
            <w:vAlign w:val="center"/>
          </w:tcPr>
          <w:p>
            <w:pPr>
              <w:jc w:val="center"/>
            </w:pPr>
            <w:r>
              <w:rPr>
                <w:rFonts w:hint="eastAsia"/>
              </w:rPr>
              <w:t>41.20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其中讲师</w:t>
            </w:r>
          </w:p>
        </w:tc>
        <w:tc>
          <w:tcPr>
            <w:tcW w:w="1496" w:type="dxa"/>
            <w:vAlign w:val="center"/>
          </w:tcPr>
          <w:p>
            <w:pPr>
              <w:jc w:val="center"/>
            </w:pPr>
            <w:r>
              <w:rPr>
                <w:rFonts w:hint="eastAsia"/>
              </w:rPr>
              <w:t>43</w:t>
            </w:r>
          </w:p>
        </w:tc>
        <w:tc>
          <w:tcPr>
            <w:tcW w:w="1135" w:type="dxa"/>
            <w:vAlign w:val="center"/>
          </w:tcPr>
          <w:p>
            <w:pPr>
              <w:jc w:val="center"/>
            </w:pPr>
            <w:r>
              <w:rPr>
                <w:rFonts w:hint="eastAsia"/>
              </w:rPr>
              <w:t>10.57</w:t>
            </w:r>
          </w:p>
        </w:tc>
        <w:tc>
          <w:tcPr>
            <w:tcW w:w="1475" w:type="dxa"/>
            <w:vAlign w:val="center"/>
          </w:tcPr>
          <w:p>
            <w:pPr>
              <w:jc w:val="center"/>
            </w:pPr>
            <w:r>
              <w:rPr>
                <w:rFonts w:hint="eastAsia"/>
              </w:rPr>
              <w:t>39</w:t>
            </w:r>
          </w:p>
        </w:tc>
        <w:tc>
          <w:tcPr>
            <w:tcW w:w="1156" w:type="dxa"/>
            <w:vAlign w:val="center"/>
          </w:tcPr>
          <w:p>
            <w:pPr>
              <w:jc w:val="center"/>
            </w:pPr>
            <w:r>
              <w:rPr>
                <w:rFonts w:hint="eastAsia"/>
              </w:rPr>
              <w:t>14.61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初级</w:t>
            </w:r>
          </w:p>
        </w:tc>
        <w:tc>
          <w:tcPr>
            <w:tcW w:w="1496" w:type="dxa"/>
            <w:vAlign w:val="center"/>
          </w:tcPr>
          <w:p>
            <w:pPr>
              <w:jc w:val="center"/>
            </w:pPr>
            <w:r>
              <w:rPr>
                <w:rFonts w:hint="eastAsia"/>
              </w:rPr>
              <w:t>52</w:t>
            </w:r>
          </w:p>
        </w:tc>
        <w:tc>
          <w:tcPr>
            <w:tcW w:w="1135" w:type="dxa"/>
            <w:vAlign w:val="center"/>
          </w:tcPr>
          <w:p>
            <w:pPr>
              <w:jc w:val="center"/>
            </w:pPr>
            <w:r>
              <w:rPr>
                <w:rFonts w:hint="eastAsia"/>
              </w:rPr>
              <w:t>12.78</w:t>
            </w:r>
          </w:p>
        </w:tc>
        <w:tc>
          <w:tcPr>
            <w:tcW w:w="1475" w:type="dxa"/>
            <w:vAlign w:val="center"/>
          </w:tcPr>
          <w:p>
            <w:pPr>
              <w:jc w:val="center"/>
            </w:pPr>
            <w:r>
              <w:rPr>
                <w:rFonts w:hint="eastAsia"/>
              </w:rPr>
              <w:t>41</w:t>
            </w:r>
          </w:p>
        </w:tc>
        <w:tc>
          <w:tcPr>
            <w:tcW w:w="1156" w:type="dxa"/>
            <w:vAlign w:val="center"/>
          </w:tcPr>
          <w:p>
            <w:pPr>
              <w:jc w:val="center"/>
            </w:pPr>
            <w:r>
              <w:rPr>
                <w:rFonts w:hint="eastAsia"/>
              </w:rPr>
              <w:t>15.36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其中助教</w:t>
            </w:r>
          </w:p>
        </w:tc>
        <w:tc>
          <w:tcPr>
            <w:tcW w:w="1496" w:type="dxa"/>
            <w:vAlign w:val="center"/>
          </w:tcPr>
          <w:p>
            <w:pPr>
              <w:jc w:val="center"/>
            </w:pPr>
            <w:r>
              <w:rPr>
                <w:rFonts w:hint="eastAsia"/>
              </w:rPr>
              <w:t>28</w:t>
            </w:r>
          </w:p>
        </w:tc>
        <w:tc>
          <w:tcPr>
            <w:tcW w:w="1135" w:type="dxa"/>
            <w:vAlign w:val="center"/>
          </w:tcPr>
          <w:p>
            <w:pPr>
              <w:jc w:val="center"/>
            </w:pPr>
            <w:r>
              <w:rPr>
                <w:rFonts w:hint="eastAsia"/>
              </w:rPr>
              <w:t>6.88</w:t>
            </w:r>
          </w:p>
        </w:tc>
        <w:tc>
          <w:tcPr>
            <w:tcW w:w="1475" w:type="dxa"/>
            <w:vAlign w:val="center"/>
          </w:tcPr>
          <w:p>
            <w:pPr>
              <w:jc w:val="center"/>
            </w:pPr>
            <w:r>
              <w:rPr>
                <w:rFonts w:hint="eastAsia"/>
              </w:rPr>
              <w:t>18</w:t>
            </w:r>
          </w:p>
        </w:tc>
        <w:tc>
          <w:tcPr>
            <w:tcW w:w="1156" w:type="dxa"/>
            <w:vAlign w:val="center"/>
          </w:tcPr>
          <w:p>
            <w:pPr>
              <w:jc w:val="center"/>
            </w:pPr>
            <w:r>
              <w:rPr>
                <w:rFonts w:hint="eastAsia"/>
              </w:rPr>
              <w:t>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未评级</w:t>
            </w:r>
          </w:p>
        </w:tc>
        <w:tc>
          <w:tcPr>
            <w:tcW w:w="1496" w:type="dxa"/>
            <w:vAlign w:val="center"/>
          </w:tcPr>
          <w:p>
            <w:pPr>
              <w:jc w:val="center"/>
            </w:pPr>
            <w:r>
              <w:rPr>
                <w:rFonts w:hint="eastAsia"/>
              </w:rPr>
              <w:t>125</w:t>
            </w:r>
          </w:p>
        </w:tc>
        <w:tc>
          <w:tcPr>
            <w:tcW w:w="1135" w:type="dxa"/>
            <w:vAlign w:val="center"/>
          </w:tcPr>
          <w:p>
            <w:pPr>
              <w:jc w:val="center"/>
            </w:pPr>
            <w:r>
              <w:rPr>
                <w:rFonts w:hint="eastAsia"/>
              </w:rPr>
              <w:t>30.71</w:t>
            </w:r>
          </w:p>
        </w:tc>
        <w:tc>
          <w:tcPr>
            <w:tcW w:w="1475" w:type="dxa"/>
            <w:vAlign w:val="center"/>
          </w:tcPr>
          <w:p>
            <w:pPr>
              <w:jc w:val="center"/>
            </w:pPr>
            <w:r>
              <w:rPr>
                <w:rFonts w:hint="eastAsia"/>
              </w:rPr>
              <w:t>10</w:t>
            </w:r>
          </w:p>
        </w:tc>
        <w:tc>
          <w:tcPr>
            <w:tcW w:w="1156" w:type="dxa"/>
            <w:vAlign w:val="center"/>
          </w:tcPr>
          <w:p>
            <w:pPr>
              <w:jc w:val="center"/>
            </w:pPr>
            <w:r>
              <w:rPr>
                <w:rFonts w:hint="eastAsia"/>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b/>
                <w:szCs w:val="21"/>
              </w:rPr>
              <w:t>最高学位</w:t>
            </w:r>
          </w:p>
        </w:tc>
        <w:tc>
          <w:tcPr>
            <w:tcW w:w="2096" w:type="dxa"/>
            <w:vAlign w:val="center"/>
          </w:tcPr>
          <w:p>
            <w:pPr>
              <w:jc w:val="center"/>
            </w:pPr>
            <w:r>
              <w:rPr>
                <w:rFonts w:hint="eastAsia" w:ascii="宋体" w:hAnsi="宋体"/>
                <w:b/>
                <w:szCs w:val="21"/>
              </w:rPr>
              <w:t>博士</w:t>
            </w:r>
          </w:p>
        </w:tc>
        <w:tc>
          <w:tcPr>
            <w:tcW w:w="1496" w:type="dxa"/>
            <w:vAlign w:val="center"/>
          </w:tcPr>
          <w:p>
            <w:pPr>
              <w:jc w:val="center"/>
            </w:pPr>
            <w:r>
              <w:rPr>
                <w:rFonts w:hint="eastAsia"/>
              </w:rPr>
              <w:t>72</w:t>
            </w:r>
          </w:p>
        </w:tc>
        <w:tc>
          <w:tcPr>
            <w:tcW w:w="1135" w:type="dxa"/>
            <w:vAlign w:val="center"/>
          </w:tcPr>
          <w:p>
            <w:pPr>
              <w:jc w:val="center"/>
            </w:pPr>
            <w:r>
              <w:rPr>
                <w:rFonts w:hint="eastAsia"/>
              </w:rPr>
              <w:t>17.69</w:t>
            </w:r>
          </w:p>
        </w:tc>
        <w:tc>
          <w:tcPr>
            <w:tcW w:w="1475" w:type="dxa"/>
            <w:vAlign w:val="center"/>
          </w:tcPr>
          <w:p>
            <w:pPr>
              <w:jc w:val="center"/>
            </w:pPr>
            <w:r>
              <w:rPr>
                <w:rFonts w:hint="eastAsia"/>
              </w:rPr>
              <w:t>49</w:t>
            </w:r>
          </w:p>
        </w:tc>
        <w:tc>
          <w:tcPr>
            <w:tcW w:w="1156" w:type="dxa"/>
            <w:vAlign w:val="center"/>
          </w:tcPr>
          <w:p>
            <w:pPr>
              <w:jc w:val="center"/>
            </w:pPr>
            <w:r>
              <w:rPr>
                <w:rFonts w:hint="eastAsia"/>
              </w:rPr>
              <w:t>18.35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硕士</w:t>
            </w:r>
          </w:p>
        </w:tc>
        <w:tc>
          <w:tcPr>
            <w:tcW w:w="1496" w:type="dxa"/>
            <w:vAlign w:val="center"/>
          </w:tcPr>
          <w:p>
            <w:pPr>
              <w:jc w:val="center"/>
            </w:pPr>
            <w:r>
              <w:rPr>
                <w:rFonts w:hint="eastAsia"/>
              </w:rPr>
              <w:t>270</w:t>
            </w:r>
          </w:p>
        </w:tc>
        <w:tc>
          <w:tcPr>
            <w:tcW w:w="1135" w:type="dxa"/>
            <w:vAlign w:val="center"/>
          </w:tcPr>
          <w:p>
            <w:pPr>
              <w:jc w:val="center"/>
            </w:pPr>
            <w:r>
              <w:rPr>
                <w:rFonts w:hint="eastAsia"/>
              </w:rPr>
              <w:t>66.34</w:t>
            </w:r>
          </w:p>
        </w:tc>
        <w:tc>
          <w:tcPr>
            <w:tcW w:w="1475" w:type="dxa"/>
            <w:vAlign w:val="center"/>
          </w:tcPr>
          <w:p>
            <w:pPr>
              <w:jc w:val="center"/>
            </w:pPr>
            <w:r>
              <w:rPr>
                <w:rFonts w:hint="eastAsia"/>
              </w:rPr>
              <w:t>134</w:t>
            </w:r>
          </w:p>
        </w:tc>
        <w:tc>
          <w:tcPr>
            <w:tcW w:w="1156" w:type="dxa"/>
            <w:vAlign w:val="center"/>
          </w:tcPr>
          <w:p>
            <w:pPr>
              <w:jc w:val="center"/>
            </w:pPr>
            <w:r>
              <w:rPr>
                <w:rFonts w:hint="eastAsia"/>
              </w:rPr>
              <w:t>50.19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学士</w:t>
            </w:r>
          </w:p>
        </w:tc>
        <w:tc>
          <w:tcPr>
            <w:tcW w:w="1496" w:type="dxa"/>
            <w:vAlign w:val="center"/>
          </w:tcPr>
          <w:p>
            <w:pPr>
              <w:jc w:val="center"/>
            </w:pPr>
            <w:r>
              <w:rPr>
                <w:rFonts w:hint="eastAsia"/>
              </w:rPr>
              <w:t>65</w:t>
            </w:r>
          </w:p>
        </w:tc>
        <w:tc>
          <w:tcPr>
            <w:tcW w:w="1135" w:type="dxa"/>
            <w:vAlign w:val="center"/>
          </w:tcPr>
          <w:p>
            <w:pPr>
              <w:jc w:val="center"/>
            </w:pPr>
            <w:r>
              <w:rPr>
                <w:rFonts w:hint="eastAsia"/>
              </w:rPr>
              <w:t>15.97</w:t>
            </w:r>
          </w:p>
        </w:tc>
        <w:tc>
          <w:tcPr>
            <w:tcW w:w="1475" w:type="dxa"/>
            <w:vAlign w:val="center"/>
          </w:tcPr>
          <w:p>
            <w:pPr>
              <w:jc w:val="center"/>
            </w:pPr>
            <w:r>
              <w:rPr>
                <w:rFonts w:hint="eastAsia"/>
              </w:rPr>
              <w:t>84</w:t>
            </w:r>
          </w:p>
        </w:tc>
        <w:tc>
          <w:tcPr>
            <w:tcW w:w="1156" w:type="dxa"/>
            <w:vAlign w:val="center"/>
          </w:tcPr>
          <w:p>
            <w:pPr>
              <w:jc w:val="center"/>
            </w:pPr>
            <w:r>
              <w:rPr>
                <w:rFonts w:hint="eastAsia"/>
              </w:rPr>
              <w:t>31.46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无学位</w:t>
            </w:r>
          </w:p>
        </w:tc>
        <w:tc>
          <w:tcPr>
            <w:tcW w:w="1496" w:type="dxa"/>
            <w:vAlign w:val="center"/>
          </w:tcPr>
          <w:p>
            <w:pPr>
              <w:jc w:val="center"/>
            </w:pPr>
            <w:r>
              <w:rPr>
                <w:rFonts w:hint="eastAsia"/>
              </w:rPr>
              <w:t>0</w:t>
            </w:r>
          </w:p>
        </w:tc>
        <w:tc>
          <w:tcPr>
            <w:tcW w:w="1135" w:type="dxa"/>
            <w:vAlign w:val="center"/>
          </w:tcPr>
          <w:p>
            <w:pPr>
              <w:jc w:val="center"/>
            </w:pPr>
            <w:r>
              <w:rPr>
                <w:rFonts w:hint="eastAsia"/>
              </w:rPr>
              <w:t>0.00</w:t>
            </w:r>
          </w:p>
        </w:tc>
        <w:tc>
          <w:tcPr>
            <w:tcW w:w="1475" w:type="dxa"/>
            <w:vAlign w:val="center"/>
          </w:tcPr>
          <w:p>
            <w:pPr>
              <w:jc w:val="center"/>
            </w:pPr>
            <w:r>
              <w:rPr>
                <w:rFonts w:hint="eastAsia"/>
              </w:rPr>
              <w:t>0</w:t>
            </w:r>
          </w:p>
        </w:tc>
        <w:tc>
          <w:tcPr>
            <w:tcW w:w="1156" w:type="dxa"/>
            <w:vAlign w:val="center"/>
          </w:tcPr>
          <w:p>
            <w:pPr>
              <w:jc w:val="center"/>
            </w:pPr>
            <w:r>
              <w:rPr>
                <w:rFonts w:hint="eastAsia"/>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restart"/>
            <w:vAlign w:val="center"/>
          </w:tcPr>
          <w:p>
            <w:pPr>
              <w:jc w:val="center"/>
            </w:pPr>
            <w:r>
              <w:rPr>
                <w:rFonts w:hint="eastAsia" w:ascii="宋体" w:hAnsi="宋体"/>
                <w:b/>
                <w:szCs w:val="21"/>
              </w:rPr>
              <w:t>年龄</w:t>
            </w:r>
          </w:p>
        </w:tc>
        <w:tc>
          <w:tcPr>
            <w:tcW w:w="2096" w:type="dxa"/>
            <w:vAlign w:val="center"/>
          </w:tcPr>
          <w:p>
            <w:pPr>
              <w:jc w:val="center"/>
            </w:pPr>
            <w:r>
              <w:rPr>
                <w:rFonts w:hint="eastAsia" w:ascii="宋体" w:hAnsi="宋体"/>
                <w:b/>
                <w:szCs w:val="21"/>
              </w:rPr>
              <w:t>35岁及以下</w:t>
            </w:r>
          </w:p>
        </w:tc>
        <w:tc>
          <w:tcPr>
            <w:tcW w:w="1496" w:type="dxa"/>
            <w:vAlign w:val="center"/>
          </w:tcPr>
          <w:p>
            <w:pPr>
              <w:jc w:val="center"/>
            </w:pPr>
            <w:r>
              <w:rPr>
                <w:rFonts w:hint="eastAsia"/>
              </w:rPr>
              <w:t>208</w:t>
            </w:r>
          </w:p>
        </w:tc>
        <w:tc>
          <w:tcPr>
            <w:tcW w:w="1135" w:type="dxa"/>
            <w:vAlign w:val="center"/>
          </w:tcPr>
          <w:p>
            <w:pPr>
              <w:jc w:val="center"/>
            </w:pPr>
            <w:r>
              <w:rPr>
                <w:rFonts w:hint="eastAsia"/>
              </w:rPr>
              <w:t>51.11</w:t>
            </w:r>
          </w:p>
        </w:tc>
        <w:tc>
          <w:tcPr>
            <w:tcW w:w="1475" w:type="dxa"/>
            <w:vAlign w:val="center"/>
          </w:tcPr>
          <w:p>
            <w:pPr>
              <w:jc w:val="center"/>
            </w:pPr>
            <w:r>
              <w:rPr>
                <w:rFonts w:hint="eastAsia"/>
              </w:rPr>
              <w:t>104</w:t>
            </w:r>
          </w:p>
        </w:tc>
        <w:tc>
          <w:tcPr>
            <w:tcW w:w="1156" w:type="dxa"/>
            <w:vAlign w:val="center"/>
          </w:tcPr>
          <w:p>
            <w:pPr>
              <w:jc w:val="center"/>
            </w:pPr>
            <w:r>
              <w:rPr>
                <w:rFonts w:hint="eastAsia"/>
              </w:rPr>
              <w:t>38.95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36-45岁</w:t>
            </w:r>
          </w:p>
        </w:tc>
        <w:tc>
          <w:tcPr>
            <w:tcW w:w="1496" w:type="dxa"/>
            <w:vAlign w:val="center"/>
          </w:tcPr>
          <w:p>
            <w:pPr>
              <w:jc w:val="center"/>
            </w:pPr>
            <w:r>
              <w:rPr>
                <w:rFonts w:hint="eastAsia"/>
              </w:rPr>
              <w:t>89</w:t>
            </w:r>
          </w:p>
        </w:tc>
        <w:tc>
          <w:tcPr>
            <w:tcW w:w="1135" w:type="dxa"/>
            <w:vAlign w:val="center"/>
          </w:tcPr>
          <w:p>
            <w:pPr>
              <w:jc w:val="center"/>
            </w:pPr>
            <w:r>
              <w:rPr>
                <w:rFonts w:hint="eastAsia"/>
              </w:rPr>
              <w:t>21.87</w:t>
            </w:r>
          </w:p>
        </w:tc>
        <w:tc>
          <w:tcPr>
            <w:tcW w:w="1475" w:type="dxa"/>
            <w:vAlign w:val="center"/>
          </w:tcPr>
          <w:p>
            <w:pPr>
              <w:jc w:val="center"/>
            </w:pPr>
            <w:r>
              <w:rPr>
                <w:rFonts w:hint="eastAsia"/>
              </w:rPr>
              <w:t>111</w:t>
            </w:r>
          </w:p>
        </w:tc>
        <w:tc>
          <w:tcPr>
            <w:tcW w:w="1156" w:type="dxa"/>
            <w:vAlign w:val="center"/>
          </w:tcPr>
          <w:p>
            <w:pPr>
              <w:jc w:val="center"/>
            </w:pPr>
            <w:r>
              <w:rPr>
                <w:rFonts w:hint="eastAsia"/>
              </w:rPr>
              <w:t>41.57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46-55岁</w:t>
            </w:r>
          </w:p>
        </w:tc>
        <w:tc>
          <w:tcPr>
            <w:tcW w:w="1496" w:type="dxa"/>
            <w:vAlign w:val="center"/>
          </w:tcPr>
          <w:p>
            <w:pPr>
              <w:jc w:val="center"/>
            </w:pPr>
            <w:r>
              <w:rPr>
                <w:rFonts w:hint="eastAsia"/>
              </w:rPr>
              <w:t>44</w:t>
            </w:r>
          </w:p>
        </w:tc>
        <w:tc>
          <w:tcPr>
            <w:tcW w:w="1135" w:type="dxa"/>
            <w:vAlign w:val="center"/>
          </w:tcPr>
          <w:p>
            <w:pPr>
              <w:jc w:val="center"/>
            </w:pPr>
            <w:r>
              <w:rPr>
                <w:rFonts w:hint="eastAsia"/>
              </w:rPr>
              <w:t>10.81</w:t>
            </w:r>
          </w:p>
        </w:tc>
        <w:tc>
          <w:tcPr>
            <w:tcW w:w="1475" w:type="dxa"/>
            <w:vAlign w:val="center"/>
          </w:tcPr>
          <w:p>
            <w:pPr>
              <w:jc w:val="center"/>
            </w:pPr>
            <w:r>
              <w:rPr>
                <w:rFonts w:hint="eastAsia"/>
              </w:rPr>
              <w:t>35</w:t>
            </w:r>
          </w:p>
        </w:tc>
        <w:tc>
          <w:tcPr>
            <w:tcW w:w="1156" w:type="dxa"/>
            <w:vAlign w:val="center"/>
          </w:tcPr>
          <w:p>
            <w:pPr>
              <w:jc w:val="center"/>
            </w:pPr>
            <w:r>
              <w:rPr>
                <w:rFonts w:hint="eastAsia"/>
              </w:rPr>
              <w:t>13.11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64" w:type="dxa"/>
            <w:vMerge w:val="continue"/>
            <w:vAlign w:val="center"/>
          </w:tcPr>
          <w:p>
            <w:pPr>
              <w:jc w:val="center"/>
            </w:pPr>
          </w:p>
        </w:tc>
        <w:tc>
          <w:tcPr>
            <w:tcW w:w="2096" w:type="dxa"/>
            <w:vAlign w:val="center"/>
          </w:tcPr>
          <w:p>
            <w:pPr>
              <w:jc w:val="center"/>
            </w:pPr>
            <w:r>
              <w:rPr>
                <w:rFonts w:hint="eastAsia" w:ascii="宋体" w:hAnsi="宋体"/>
                <w:b/>
                <w:szCs w:val="21"/>
              </w:rPr>
              <w:t>56岁及以上</w:t>
            </w:r>
          </w:p>
        </w:tc>
        <w:tc>
          <w:tcPr>
            <w:tcW w:w="1496" w:type="dxa"/>
            <w:vAlign w:val="center"/>
          </w:tcPr>
          <w:p>
            <w:pPr>
              <w:jc w:val="center"/>
            </w:pPr>
            <w:r>
              <w:rPr>
                <w:rFonts w:hint="eastAsia"/>
              </w:rPr>
              <w:t>66</w:t>
            </w:r>
          </w:p>
        </w:tc>
        <w:tc>
          <w:tcPr>
            <w:tcW w:w="1135" w:type="dxa"/>
            <w:vAlign w:val="center"/>
          </w:tcPr>
          <w:p>
            <w:pPr>
              <w:jc w:val="center"/>
            </w:pPr>
            <w:r>
              <w:rPr>
                <w:rFonts w:hint="eastAsia"/>
              </w:rPr>
              <w:t>16.22</w:t>
            </w:r>
          </w:p>
        </w:tc>
        <w:tc>
          <w:tcPr>
            <w:tcW w:w="1475" w:type="dxa"/>
            <w:vAlign w:val="center"/>
          </w:tcPr>
          <w:p>
            <w:pPr>
              <w:jc w:val="center"/>
            </w:pPr>
            <w:r>
              <w:rPr>
                <w:rFonts w:hint="eastAsia"/>
              </w:rPr>
              <w:t>17</w:t>
            </w:r>
          </w:p>
        </w:tc>
        <w:tc>
          <w:tcPr>
            <w:tcW w:w="1156" w:type="dxa"/>
            <w:vAlign w:val="center"/>
          </w:tcPr>
          <w:p>
            <w:pPr>
              <w:jc w:val="center"/>
            </w:pPr>
            <w:r>
              <w:rPr>
                <w:rFonts w:hint="eastAsia"/>
              </w:rPr>
              <w:t>6.37</w:t>
            </w:r>
          </w:p>
        </w:tc>
      </w:tr>
    </w:tbl>
    <w:p>
      <w:pPr>
        <w:jc w:val="left"/>
      </w:pPr>
    </w:p>
    <w:p>
      <w:pPr>
        <w:jc w:val="left"/>
      </w:pPr>
      <w:r>
        <w:rPr>
          <w:rFonts w:hint="eastAsia" w:ascii="宋体" w:hAnsi="宋体"/>
          <w:sz w:val="24"/>
          <w:szCs w:val="24"/>
        </w:rPr>
        <w:t>（2）分专业情况</w:t>
      </w:r>
    </w:p>
    <w:p>
      <w:pPr>
        <w:jc w:val="center"/>
      </w:pPr>
      <w:r>
        <w:rPr>
          <w:rFonts w:hint="eastAsia" w:ascii="宋体" w:hAnsi="宋体"/>
          <w:sz w:val="24"/>
          <w:szCs w:val="24"/>
        </w:rPr>
        <w:t>附表2 分专业专任教师数量情况</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8"/>
        <w:gridCol w:w="1950"/>
        <w:gridCol w:w="1000"/>
        <w:gridCol w:w="800"/>
        <w:gridCol w:w="1100"/>
        <w:gridCol w:w="975"/>
        <w:gridCol w:w="1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318" w:type="dxa"/>
            <w:vAlign w:val="center"/>
          </w:tcPr>
          <w:p>
            <w:pPr>
              <w:jc w:val="center"/>
            </w:pPr>
            <w:r>
              <w:rPr>
                <w:rFonts w:hint="eastAsia" w:ascii="宋体" w:hAnsi="宋体"/>
                <w:szCs w:val="21"/>
              </w:rPr>
              <w:t>专业代码</w:t>
            </w:r>
          </w:p>
        </w:tc>
        <w:tc>
          <w:tcPr>
            <w:tcW w:w="1950" w:type="dxa"/>
            <w:vAlign w:val="center"/>
          </w:tcPr>
          <w:p>
            <w:pPr>
              <w:jc w:val="center"/>
            </w:pPr>
            <w:r>
              <w:rPr>
                <w:rFonts w:hint="eastAsia" w:ascii="宋体" w:hAnsi="宋体"/>
                <w:szCs w:val="21"/>
              </w:rPr>
              <w:t>专业名称</w:t>
            </w:r>
          </w:p>
        </w:tc>
        <w:tc>
          <w:tcPr>
            <w:tcW w:w="1000" w:type="dxa"/>
            <w:vAlign w:val="center"/>
          </w:tcPr>
          <w:p>
            <w:pPr>
              <w:jc w:val="center"/>
            </w:pPr>
            <w:r>
              <w:rPr>
                <w:rFonts w:hint="eastAsia" w:ascii="宋体" w:hAnsi="宋体"/>
                <w:szCs w:val="21"/>
              </w:rPr>
              <w:t>专任教师数量</w:t>
            </w:r>
          </w:p>
        </w:tc>
        <w:tc>
          <w:tcPr>
            <w:tcW w:w="800" w:type="dxa"/>
            <w:vAlign w:val="center"/>
          </w:tcPr>
          <w:p>
            <w:pPr>
              <w:jc w:val="center"/>
            </w:pPr>
            <w:r>
              <w:rPr>
                <w:rFonts w:hint="eastAsia" w:ascii="宋体" w:hAnsi="宋体"/>
                <w:szCs w:val="21"/>
              </w:rPr>
              <w:t>生师比</w:t>
            </w:r>
          </w:p>
        </w:tc>
        <w:tc>
          <w:tcPr>
            <w:tcW w:w="1100" w:type="dxa"/>
            <w:vAlign w:val="center"/>
          </w:tcPr>
          <w:p>
            <w:pPr>
              <w:jc w:val="center"/>
            </w:pPr>
            <w:r>
              <w:rPr>
                <w:rFonts w:hint="eastAsia" w:ascii="宋体" w:hAnsi="宋体"/>
                <w:szCs w:val="21"/>
              </w:rPr>
              <w:t>近五年新进教师</w:t>
            </w:r>
          </w:p>
        </w:tc>
        <w:tc>
          <w:tcPr>
            <w:tcW w:w="975" w:type="dxa"/>
            <w:vAlign w:val="center"/>
          </w:tcPr>
          <w:p>
            <w:pPr>
              <w:jc w:val="center"/>
            </w:pPr>
            <w:r>
              <w:rPr>
                <w:rFonts w:hint="eastAsia" w:ascii="宋体" w:hAnsi="宋体"/>
                <w:szCs w:val="21"/>
              </w:rPr>
              <w:t>双师型教师</w:t>
            </w:r>
          </w:p>
        </w:tc>
        <w:tc>
          <w:tcPr>
            <w:tcW w:w="1379" w:type="dxa"/>
            <w:vAlign w:val="center"/>
          </w:tcPr>
          <w:p>
            <w:pPr>
              <w:jc w:val="center"/>
            </w:pPr>
            <w:r>
              <w:rPr>
                <w:rFonts w:hint="eastAsia" w:ascii="宋体" w:hAnsi="宋体"/>
                <w:szCs w:val="21"/>
              </w:rPr>
              <w:t>具有行业企业背景教师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082601</w:t>
            </w:r>
          </w:p>
        </w:tc>
        <w:tc>
          <w:tcPr>
            <w:tcW w:w="1950" w:type="dxa"/>
            <w:vAlign w:val="center"/>
          </w:tcPr>
          <w:p>
            <w:pPr>
              <w:jc w:val="center"/>
            </w:pPr>
            <w:r>
              <w:t>生物医学工程</w:t>
            </w:r>
          </w:p>
        </w:tc>
        <w:tc>
          <w:tcPr>
            <w:tcW w:w="1000" w:type="dxa"/>
            <w:vAlign w:val="center"/>
          </w:tcPr>
          <w:p>
            <w:pPr>
              <w:jc w:val="center"/>
            </w:pPr>
            <w:r>
              <w:t>14</w:t>
            </w:r>
          </w:p>
        </w:tc>
        <w:tc>
          <w:tcPr>
            <w:tcW w:w="800" w:type="dxa"/>
            <w:vAlign w:val="center"/>
          </w:tcPr>
          <w:p>
            <w:pPr>
              <w:jc w:val="center"/>
            </w:pPr>
            <w:r>
              <w:t>8.64</w:t>
            </w:r>
          </w:p>
        </w:tc>
        <w:tc>
          <w:tcPr>
            <w:tcW w:w="1100" w:type="dxa"/>
            <w:vAlign w:val="center"/>
          </w:tcPr>
          <w:p>
            <w:pPr>
              <w:jc w:val="center"/>
            </w:pPr>
            <w:r>
              <w:t>12</w:t>
            </w:r>
          </w:p>
        </w:tc>
        <w:tc>
          <w:tcPr>
            <w:tcW w:w="975" w:type="dxa"/>
            <w:vAlign w:val="center"/>
          </w:tcPr>
          <w:p>
            <w:pPr>
              <w:jc w:val="center"/>
            </w:pPr>
            <w:r>
              <w:t>0</w:t>
            </w:r>
          </w:p>
        </w:tc>
        <w:tc>
          <w:tcPr>
            <w:tcW w:w="1379" w:type="dxa"/>
            <w:vAlign w:val="center"/>
          </w:tcPr>
          <w:p>
            <w:pPr>
              <w:jc w:val="center"/>
            </w:pPr>
            <w: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083002T</w:t>
            </w:r>
          </w:p>
        </w:tc>
        <w:tc>
          <w:tcPr>
            <w:tcW w:w="1950" w:type="dxa"/>
            <w:vAlign w:val="center"/>
          </w:tcPr>
          <w:p>
            <w:pPr>
              <w:jc w:val="center"/>
            </w:pPr>
            <w:r>
              <w:t>生物制药</w:t>
            </w:r>
          </w:p>
        </w:tc>
        <w:tc>
          <w:tcPr>
            <w:tcW w:w="1000" w:type="dxa"/>
            <w:vAlign w:val="center"/>
          </w:tcPr>
          <w:p>
            <w:pPr>
              <w:jc w:val="center"/>
            </w:pPr>
            <w:r>
              <w:t>7</w:t>
            </w:r>
          </w:p>
        </w:tc>
        <w:tc>
          <w:tcPr>
            <w:tcW w:w="800" w:type="dxa"/>
            <w:vAlign w:val="center"/>
          </w:tcPr>
          <w:p>
            <w:pPr>
              <w:jc w:val="center"/>
            </w:pPr>
            <w:r>
              <w:t>5.71</w:t>
            </w:r>
          </w:p>
        </w:tc>
        <w:tc>
          <w:tcPr>
            <w:tcW w:w="1100" w:type="dxa"/>
            <w:vAlign w:val="center"/>
          </w:tcPr>
          <w:p>
            <w:pPr>
              <w:jc w:val="center"/>
            </w:pPr>
            <w:r>
              <w:t>5</w:t>
            </w:r>
          </w:p>
        </w:tc>
        <w:tc>
          <w:tcPr>
            <w:tcW w:w="975" w:type="dxa"/>
            <w:vAlign w:val="center"/>
          </w:tcPr>
          <w:p>
            <w:pPr>
              <w:jc w:val="center"/>
            </w:pPr>
            <w:r>
              <w:t>0</w:t>
            </w:r>
          </w:p>
        </w:tc>
        <w:tc>
          <w:tcPr>
            <w:tcW w:w="1379" w:type="dxa"/>
            <w:vAlign w:val="center"/>
          </w:tcPr>
          <w:p>
            <w:pPr>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100201K</w:t>
            </w:r>
          </w:p>
        </w:tc>
        <w:tc>
          <w:tcPr>
            <w:tcW w:w="1950" w:type="dxa"/>
            <w:vAlign w:val="center"/>
          </w:tcPr>
          <w:p>
            <w:pPr>
              <w:jc w:val="center"/>
            </w:pPr>
            <w:r>
              <w:t>临床医学</w:t>
            </w:r>
          </w:p>
        </w:tc>
        <w:tc>
          <w:tcPr>
            <w:tcW w:w="1000" w:type="dxa"/>
            <w:vAlign w:val="center"/>
          </w:tcPr>
          <w:p>
            <w:pPr>
              <w:jc w:val="center"/>
            </w:pPr>
            <w:r>
              <w:t>49</w:t>
            </w:r>
          </w:p>
        </w:tc>
        <w:tc>
          <w:tcPr>
            <w:tcW w:w="800" w:type="dxa"/>
            <w:vAlign w:val="center"/>
          </w:tcPr>
          <w:p>
            <w:pPr>
              <w:jc w:val="center"/>
            </w:pPr>
            <w:r>
              <w:t>60.59</w:t>
            </w:r>
          </w:p>
        </w:tc>
        <w:tc>
          <w:tcPr>
            <w:tcW w:w="1100" w:type="dxa"/>
            <w:vAlign w:val="center"/>
          </w:tcPr>
          <w:p>
            <w:pPr>
              <w:jc w:val="center"/>
            </w:pPr>
            <w:r>
              <w:t>46</w:t>
            </w:r>
          </w:p>
        </w:tc>
        <w:tc>
          <w:tcPr>
            <w:tcW w:w="975" w:type="dxa"/>
            <w:vAlign w:val="center"/>
          </w:tcPr>
          <w:p>
            <w:pPr>
              <w:jc w:val="center"/>
            </w:pPr>
            <w:r>
              <w:t>33</w:t>
            </w:r>
          </w:p>
        </w:tc>
        <w:tc>
          <w:tcPr>
            <w:tcW w:w="1379" w:type="dxa"/>
            <w:vAlign w:val="center"/>
          </w:tcPr>
          <w:p>
            <w:pPr>
              <w:jc w:val="center"/>
            </w:pPr>
            <w: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100401K</w:t>
            </w:r>
          </w:p>
        </w:tc>
        <w:tc>
          <w:tcPr>
            <w:tcW w:w="1950" w:type="dxa"/>
            <w:vAlign w:val="center"/>
          </w:tcPr>
          <w:p>
            <w:pPr>
              <w:jc w:val="center"/>
            </w:pPr>
            <w:r>
              <w:t>预防医学</w:t>
            </w:r>
          </w:p>
        </w:tc>
        <w:tc>
          <w:tcPr>
            <w:tcW w:w="1000" w:type="dxa"/>
            <w:vAlign w:val="center"/>
          </w:tcPr>
          <w:p>
            <w:pPr>
              <w:jc w:val="center"/>
            </w:pPr>
            <w:r>
              <w:t>26</w:t>
            </w:r>
          </w:p>
        </w:tc>
        <w:tc>
          <w:tcPr>
            <w:tcW w:w="800" w:type="dxa"/>
            <w:vAlign w:val="center"/>
          </w:tcPr>
          <w:p>
            <w:pPr>
              <w:jc w:val="center"/>
            </w:pPr>
            <w:r>
              <w:t>8.77</w:t>
            </w:r>
          </w:p>
        </w:tc>
        <w:tc>
          <w:tcPr>
            <w:tcW w:w="1100" w:type="dxa"/>
            <w:vAlign w:val="center"/>
          </w:tcPr>
          <w:p>
            <w:pPr>
              <w:jc w:val="center"/>
            </w:pPr>
            <w:r>
              <w:t>25</w:t>
            </w:r>
          </w:p>
        </w:tc>
        <w:tc>
          <w:tcPr>
            <w:tcW w:w="975" w:type="dxa"/>
            <w:vAlign w:val="center"/>
          </w:tcPr>
          <w:p>
            <w:pPr>
              <w:jc w:val="center"/>
            </w:pPr>
            <w:r>
              <w:t>1</w:t>
            </w:r>
          </w:p>
        </w:tc>
        <w:tc>
          <w:tcPr>
            <w:tcW w:w="1379" w:type="dxa"/>
            <w:vAlign w:val="center"/>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100701</w:t>
            </w:r>
          </w:p>
        </w:tc>
        <w:tc>
          <w:tcPr>
            <w:tcW w:w="1950" w:type="dxa"/>
            <w:vAlign w:val="center"/>
          </w:tcPr>
          <w:p>
            <w:pPr>
              <w:jc w:val="center"/>
            </w:pPr>
            <w:r>
              <w:t>药学</w:t>
            </w:r>
          </w:p>
        </w:tc>
        <w:tc>
          <w:tcPr>
            <w:tcW w:w="1000" w:type="dxa"/>
            <w:vAlign w:val="center"/>
          </w:tcPr>
          <w:p>
            <w:pPr>
              <w:jc w:val="center"/>
            </w:pPr>
            <w:r>
              <w:t>13</w:t>
            </w:r>
          </w:p>
        </w:tc>
        <w:tc>
          <w:tcPr>
            <w:tcW w:w="800" w:type="dxa"/>
            <w:vAlign w:val="center"/>
          </w:tcPr>
          <w:p>
            <w:pPr>
              <w:jc w:val="center"/>
            </w:pPr>
            <w:r>
              <w:t>33.62</w:t>
            </w:r>
          </w:p>
        </w:tc>
        <w:tc>
          <w:tcPr>
            <w:tcW w:w="1100" w:type="dxa"/>
            <w:vAlign w:val="center"/>
          </w:tcPr>
          <w:p>
            <w:pPr>
              <w:jc w:val="center"/>
            </w:pPr>
            <w:r>
              <w:t>12</w:t>
            </w:r>
          </w:p>
        </w:tc>
        <w:tc>
          <w:tcPr>
            <w:tcW w:w="975" w:type="dxa"/>
            <w:vAlign w:val="center"/>
          </w:tcPr>
          <w:p>
            <w:pPr>
              <w:jc w:val="center"/>
            </w:pPr>
            <w:r>
              <w:t>0</w:t>
            </w:r>
          </w:p>
        </w:tc>
        <w:tc>
          <w:tcPr>
            <w:tcW w:w="1379" w:type="dxa"/>
            <w:vAlign w:val="center"/>
          </w:tcPr>
          <w:p>
            <w:pPr>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101001</w:t>
            </w:r>
          </w:p>
        </w:tc>
        <w:tc>
          <w:tcPr>
            <w:tcW w:w="1950" w:type="dxa"/>
            <w:vAlign w:val="center"/>
          </w:tcPr>
          <w:p>
            <w:pPr>
              <w:jc w:val="center"/>
            </w:pPr>
            <w:r>
              <w:t>医学检验技术</w:t>
            </w:r>
          </w:p>
        </w:tc>
        <w:tc>
          <w:tcPr>
            <w:tcW w:w="1000" w:type="dxa"/>
            <w:vAlign w:val="center"/>
          </w:tcPr>
          <w:p>
            <w:pPr>
              <w:jc w:val="center"/>
            </w:pPr>
            <w:r>
              <w:t>19</w:t>
            </w:r>
          </w:p>
        </w:tc>
        <w:tc>
          <w:tcPr>
            <w:tcW w:w="800" w:type="dxa"/>
            <w:vAlign w:val="center"/>
          </w:tcPr>
          <w:p>
            <w:pPr>
              <w:jc w:val="center"/>
            </w:pPr>
            <w:r>
              <w:t>32.84</w:t>
            </w:r>
          </w:p>
        </w:tc>
        <w:tc>
          <w:tcPr>
            <w:tcW w:w="1100" w:type="dxa"/>
            <w:vAlign w:val="center"/>
          </w:tcPr>
          <w:p>
            <w:pPr>
              <w:jc w:val="center"/>
            </w:pPr>
            <w:r>
              <w:t>19</w:t>
            </w:r>
          </w:p>
        </w:tc>
        <w:tc>
          <w:tcPr>
            <w:tcW w:w="975" w:type="dxa"/>
            <w:vAlign w:val="center"/>
          </w:tcPr>
          <w:p>
            <w:pPr>
              <w:jc w:val="center"/>
            </w:pPr>
            <w:r>
              <w:t>12</w:t>
            </w:r>
          </w:p>
        </w:tc>
        <w:tc>
          <w:tcPr>
            <w:tcW w:w="1379" w:type="dxa"/>
            <w:vAlign w:val="center"/>
          </w:tcPr>
          <w:p>
            <w:pPr>
              <w:jc w:val="center"/>
            </w:pPr>
            <w: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101003</w:t>
            </w:r>
          </w:p>
        </w:tc>
        <w:tc>
          <w:tcPr>
            <w:tcW w:w="1950" w:type="dxa"/>
            <w:vAlign w:val="center"/>
          </w:tcPr>
          <w:p>
            <w:pPr>
              <w:jc w:val="center"/>
            </w:pPr>
            <w:r>
              <w:t>医学影像技术</w:t>
            </w:r>
          </w:p>
        </w:tc>
        <w:tc>
          <w:tcPr>
            <w:tcW w:w="1000" w:type="dxa"/>
            <w:vAlign w:val="center"/>
          </w:tcPr>
          <w:p>
            <w:pPr>
              <w:jc w:val="center"/>
            </w:pPr>
            <w:r>
              <w:t>27</w:t>
            </w:r>
          </w:p>
        </w:tc>
        <w:tc>
          <w:tcPr>
            <w:tcW w:w="800" w:type="dxa"/>
            <w:vAlign w:val="center"/>
          </w:tcPr>
          <w:p>
            <w:pPr>
              <w:jc w:val="center"/>
            </w:pPr>
            <w:r>
              <w:t>21.48</w:t>
            </w:r>
          </w:p>
        </w:tc>
        <w:tc>
          <w:tcPr>
            <w:tcW w:w="1100" w:type="dxa"/>
            <w:vAlign w:val="center"/>
          </w:tcPr>
          <w:p>
            <w:pPr>
              <w:jc w:val="center"/>
            </w:pPr>
            <w:r>
              <w:t>27</w:t>
            </w:r>
          </w:p>
        </w:tc>
        <w:tc>
          <w:tcPr>
            <w:tcW w:w="975" w:type="dxa"/>
            <w:vAlign w:val="center"/>
          </w:tcPr>
          <w:p>
            <w:pPr>
              <w:jc w:val="center"/>
            </w:pPr>
            <w:r>
              <w:t>20</w:t>
            </w:r>
          </w:p>
        </w:tc>
        <w:tc>
          <w:tcPr>
            <w:tcW w:w="1379" w:type="dxa"/>
            <w:vAlign w:val="center"/>
          </w:tcPr>
          <w:p>
            <w:pPr>
              <w:jc w:val="center"/>
            </w:pPr>
            <w: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101004</w:t>
            </w:r>
          </w:p>
        </w:tc>
        <w:tc>
          <w:tcPr>
            <w:tcW w:w="1950" w:type="dxa"/>
            <w:vAlign w:val="center"/>
          </w:tcPr>
          <w:p>
            <w:pPr>
              <w:jc w:val="center"/>
            </w:pPr>
            <w:r>
              <w:t>眼视光学</w:t>
            </w:r>
          </w:p>
        </w:tc>
        <w:tc>
          <w:tcPr>
            <w:tcW w:w="1000" w:type="dxa"/>
            <w:vAlign w:val="center"/>
          </w:tcPr>
          <w:p>
            <w:pPr>
              <w:jc w:val="center"/>
            </w:pPr>
            <w:r>
              <w:t>14</w:t>
            </w:r>
          </w:p>
        </w:tc>
        <w:tc>
          <w:tcPr>
            <w:tcW w:w="800" w:type="dxa"/>
            <w:vAlign w:val="center"/>
          </w:tcPr>
          <w:p>
            <w:pPr>
              <w:jc w:val="center"/>
            </w:pPr>
            <w:r>
              <w:t>7.07</w:t>
            </w:r>
          </w:p>
        </w:tc>
        <w:tc>
          <w:tcPr>
            <w:tcW w:w="1100" w:type="dxa"/>
            <w:vAlign w:val="center"/>
          </w:tcPr>
          <w:p>
            <w:pPr>
              <w:jc w:val="center"/>
            </w:pPr>
            <w:r>
              <w:t>14</w:t>
            </w:r>
          </w:p>
        </w:tc>
        <w:tc>
          <w:tcPr>
            <w:tcW w:w="975" w:type="dxa"/>
            <w:vAlign w:val="center"/>
          </w:tcPr>
          <w:p>
            <w:pPr>
              <w:jc w:val="center"/>
            </w:pPr>
            <w:r>
              <w:t>8</w:t>
            </w:r>
          </w:p>
        </w:tc>
        <w:tc>
          <w:tcPr>
            <w:tcW w:w="1379" w:type="dxa"/>
            <w:vAlign w:val="center"/>
          </w:tcPr>
          <w:p>
            <w:pPr>
              <w:jc w:val="center"/>
            </w:pPr>
            <w: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101005</w:t>
            </w:r>
          </w:p>
        </w:tc>
        <w:tc>
          <w:tcPr>
            <w:tcW w:w="1950" w:type="dxa"/>
            <w:vAlign w:val="center"/>
          </w:tcPr>
          <w:p>
            <w:pPr>
              <w:jc w:val="center"/>
            </w:pPr>
            <w:r>
              <w:t>康复治疗学</w:t>
            </w:r>
          </w:p>
        </w:tc>
        <w:tc>
          <w:tcPr>
            <w:tcW w:w="1000" w:type="dxa"/>
            <w:vAlign w:val="center"/>
          </w:tcPr>
          <w:p>
            <w:pPr>
              <w:jc w:val="center"/>
            </w:pPr>
            <w:r>
              <w:t>22</w:t>
            </w:r>
          </w:p>
        </w:tc>
        <w:tc>
          <w:tcPr>
            <w:tcW w:w="800" w:type="dxa"/>
            <w:vAlign w:val="center"/>
          </w:tcPr>
          <w:p>
            <w:pPr>
              <w:jc w:val="center"/>
            </w:pPr>
            <w:r>
              <w:t>19.05</w:t>
            </w:r>
          </w:p>
        </w:tc>
        <w:tc>
          <w:tcPr>
            <w:tcW w:w="1100" w:type="dxa"/>
            <w:vAlign w:val="center"/>
          </w:tcPr>
          <w:p>
            <w:pPr>
              <w:jc w:val="center"/>
            </w:pPr>
            <w:r>
              <w:t>22</w:t>
            </w:r>
          </w:p>
        </w:tc>
        <w:tc>
          <w:tcPr>
            <w:tcW w:w="975" w:type="dxa"/>
            <w:vAlign w:val="center"/>
          </w:tcPr>
          <w:p>
            <w:pPr>
              <w:jc w:val="center"/>
            </w:pPr>
            <w:r>
              <w:t>15</w:t>
            </w:r>
          </w:p>
        </w:tc>
        <w:tc>
          <w:tcPr>
            <w:tcW w:w="1379" w:type="dxa"/>
            <w:vAlign w:val="center"/>
          </w:tcPr>
          <w:p>
            <w:pPr>
              <w:jc w:val="center"/>
            </w:pPr>
            <w: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101011T</w:t>
            </w:r>
          </w:p>
        </w:tc>
        <w:tc>
          <w:tcPr>
            <w:tcW w:w="1950" w:type="dxa"/>
            <w:vAlign w:val="center"/>
          </w:tcPr>
          <w:p>
            <w:pPr>
              <w:jc w:val="center"/>
            </w:pPr>
            <w:r>
              <w:t>智能医学工程</w:t>
            </w:r>
          </w:p>
        </w:tc>
        <w:tc>
          <w:tcPr>
            <w:tcW w:w="1000" w:type="dxa"/>
            <w:vAlign w:val="center"/>
          </w:tcPr>
          <w:p>
            <w:pPr>
              <w:jc w:val="center"/>
            </w:pPr>
            <w:r>
              <w:t>7</w:t>
            </w:r>
          </w:p>
        </w:tc>
        <w:tc>
          <w:tcPr>
            <w:tcW w:w="800" w:type="dxa"/>
            <w:vAlign w:val="center"/>
          </w:tcPr>
          <w:p>
            <w:pPr>
              <w:jc w:val="center"/>
            </w:pPr>
            <w:r>
              <w:t>9.57</w:t>
            </w:r>
          </w:p>
        </w:tc>
        <w:tc>
          <w:tcPr>
            <w:tcW w:w="1100" w:type="dxa"/>
            <w:vAlign w:val="center"/>
          </w:tcPr>
          <w:p>
            <w:pPr>
              <w:jc w:val="center"/>
            </w:pPr>
            <w:r>
              <w:t>5</w:t>
            </w:r>
          </w:p>
        </w:tc>
        <w:tc>
          <w:tcPr>
            <w:tcW w:w="975" w:type="dxa"/>
            <w:vAlign w:val="center"/>
          </w:tcPr>
          <w:p>
            <w:pPr>
              <w:jc w:val="center"/>
            </w:pPr>
            <w:r>
              <w:t>0</w:t>
            </w:r>
          </w:p>
        </w:tc>
        <w:tc>
          <w:tcPr>
            <w:tcW w:w="1379"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101012T</w:t>
            </w:r>
          </w:p>
        </w:tc>
        <w:tc>
          <w:tcPr>
            <w:tcW w:w="1950" w:type="dxa"/>
            <w:vAlign w:val="center"/>
          </w:tcPr>
          <w:p>
            <w:pPr>
              <w:jc w:val="center"/>
            </w:pPr>
            <w:r>
              <w:t>生物医药数据科学</w:t>
            </w:r>
          </w:p>
        </w:tc>
        <w:tc>
          <w:tcPr>
            <w:tcW w:w="1000" w:type="dxa"/>
            <w:vAlign w:val="center"/>
          </w:tcPr>
          <w:p>
            <w:pPr>
              <w:jc w:val="center"/>
            </w:pPr>
            <w:r>
              <w:t>6</w:t>
            </w:r>
          </w:p>
        </w:tc>
        <w:tc>
          <w:tcPr>
            <w:tcW w:w="800" w:type="dxa"/>
            <w:vAlign w:val="center"/>
          </w:tcPr>
          <w:p>
            <w:pPr>
              <w:jc w:val="center"/>
            </w:pPr>
            <w:r>
              <w:t>10.17</w:t>
            </w:r>
          </w:p>
        </w:tc>
        <w:tc>
          <w:tcPr>
            <w:tcW w:w="1100" w:type="dxa"/>
            <w:vAlign w:val="center"/>
          </w:tcPr>
          <w:p>
            <w:pPr>
              <w:jc w:val="center"/>
            </w:pPr>
            <w:r>
              <w:t>5</w:t>
            </w:r>
          </w:p>
        </w:tc>
        <w:tc>
          <w:tcPr>
            <w:tcW w:w="975" w:type="dxa"/>
            <w:vAlign w:val="center"/>
          </w:tcPr>
          <w:p>
            <w:pPr>
              <w:jc w:val="center"/>
            </w:pPr>
            <w:r>
              <w:t>0</w:t>
            </w:r>
          </w:p>
        </w:tc>
        <w:tc>
          <w:tcPr>
            <w:tcW w:w="1379" w:type="dxa"/>
            <w:vAlign w:val="center"/>
          </w:tcPr>
          <w:p>
            <w:pPr>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101101</w:t>
            </w:r>
          </w:p>
        </w:tc>
        <w:tc>
          <w:tcPr>
            <w:tcW w:w="1950" w:type="dxa"/>
            <w:vAlign w:val="center"/>
          </w:tcPr>
          <w:p>
            <w:pPr>
              <w:jc w:val="center"/>
            </w:pPr>
            <w:r>
              <w:t>护理学</w:t>
            </w:r>
          </w:p>
        </w:tc>
        <w:tc>
          <w:tcPr>
            <w:tcW w:w="1000" w:type="dxa"/>
            <w:vAlign w:val="center"/>
          </w:tcPr>
          <w:p>
            <w:pPr>
              <w:jc w:val="center"/>
            </w:pPr>
            <w:r>
              <w:t>15</w:t>
            </w:r>
          </w:p>
        </w:tc>
        <w:tc>
          <w:tcPr>
            <w:tcW w:w="800" w:type="dxa"/>
            <w:vAlign w:val="center"/>
          </w:tcPr>
          <w:p>
            <w:pPr>
              <w:jc w:val="center"/>
            </w:pPr>
            <w:r>
              <w:t>70.47</w:t>
            </w:r>
          </w:p>
        </w:tc>
        <w:tc>
          <w:tcPr>
            <w:tcW w:w="1100" w:type="dxa"/>
            <w:vAlign w:val="center"/>
          </w:tcPr>
          <w:p>
            <w:pPr>
              <w:jc w:val="center"/>
            </w:pPr>
            <w:r>
              <w:t>13</w:t>
            </w:r>
          </w:p>
        </w:tc>
        <w:tc>
          <w:tcPr>
            <w:tcW w:w="975" w:type="dxa"/>
            <w:vAlign w:val="center"/>
          </w:tcPr>
          <w:p>
            <w:pPr>
              <w:jc w:val="center"/>
            </w:pPr>
            <w:r>
              <w:t>3</w:t>
            </w:r>
          </w:p>
        </w:tc>
        <w:tc>
          <w:tcPr>
            <w:tcW w:w="1379" w:type="dxa"/>
            <w:vAlign w:val="center"/>
          </w:tcPr>
          <w:p>
            <w:pPr>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101102T</w:t>
            </w:r>
          </w:p>
        </w:tc>
        <w:tc>
          <w:tcPr>
            <w:tcW w:w="1950" w:type="dxa"/>
            <w:vAlign w:val="center"/>
          </w:tcPr>
          <w:p>
            <w:pPr>
              <w:jc w:val="center"/>
            </w:pPr>
            <w:r>
              <w:t>助产学</w:t>
            </w:r>
          </w:p>
        </w:tc>
        <w:tc>
          <w:tcPr>
            <w:tcW w:w="1000" w:type="dxa"/>
            <w:vAlign w:val="center"/>
          </w:tcPr>
          <w:p>
            <w:pPr>
              <w:jc w:val="center"/>
            </w:pPr>
            <w:r>
              <w:t>5</w:t>
            </w:r>
          </w:p>
        </w:tc>
        <w:tc>
          <w:tcPr>
            <w:tcW w:w="800" w:type="dxa"/>
            <w:vAlign w:val="center"/>
          </w:tcPr>
          <w:p>
            <w:pPr>
              <w:jc w:val="center"/>
            </w:pPr>
            <w:r>
              <w:t>19.40</w:t>
            </w:r>
          </w:p>
        </w:tc>
        <w:tc>
          <w:tcPr>
            <w:tcW w:w="1100" w:type="dxa"/>
            <w:vAlign w:val="center"/>
          </w:tcPr>
          <w:p>
            <w:pPr>
              <w:jc w:val="center"/>
            </w:pPr>
            <w:r>
              <w:t>5</w:t>
            </w:r>
          </w:p>
        </w:tc>
        <w:tc>
          <w:tcPr>
            <w:tcW w:w="975" w:type="dxa"/>
            <w:vAlign w:val="center"/>
          </w:tcPr>
          <w:p>
            <w:pPr>
              <w:jc w:val="center"/>
            </w:pPr>
            <w:r>
              <w:t>1</w:t>
            </w:r>
          </w:p>
        </w:tc>
        <w:tc>
          <w:tcPr>
            <w:tcW w:w="1379" w:type="dxa"/>
            <w:vAlign w:val="center"/>
          </w:tcPr>
          <w:p>
            <w:pPr>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120401</w:t>
            </w:r>
          </w:p>
        </w:tc>
        <w:tc>
          <w:tcPr>
            <w:tcW w:w="1950" w:type="dxa"/>
            <w:vAlign w:val="center"/>
          </w:tcPr>
          <w:p>
            <w:pPr>
              <w:jc w:val="center"/>
            </w:pPr>
            <w:r>
              <w:t>公共事业管理</w:t>
            </w:r>
          </w:p>
        </w:tc>
        <w:tc>
          <w:tcPr>
            <w:tcW w:w="1000" w:type="dxa"/>
            <w:vAlign w:val="center"/>
          </w:tcPr>
          <w:p>
            <w:pPr>
              <w:jc w:val="center"/>
            </w:pPr>
            <w:r>
              <w:t>24</w:t>
            </w:r>
          </w:p>
        </w:tc>
        <w:tc>
          <w:tcPr>
            <w:tcW w:w="800" w:type="dxa"/>
            <w:vAlign w:val="center"/>
          </w:tcPr>
          <w:p>
            <w:pPr>
              <w:jc w:val="center"/>
            </w:pPr>
            <w:r>
              <w:t>17.42</w:t>
            </w:r>
          </w:p>
        </w:tc>
        <w:tc>
          <w:tcPr>
            <w:tcW w:w="1100" w:type="dxa"/>
            <w:vAlign w:val="center"/>
          </w:tcPr>
          <w:p>
            <w:pPr>
              <w:jc w:val="center"/>
            </w:pPr>
            <w:r>
              <w:t>24</w:t>
            </w:r>
          </w:p>
        </w:tc>
        <w:tc>
          <w:tcPr>
            <w:tcW w:w="975" w:type="dxa"/>
            <w:vAlign w:val="center"/>
          </w:tcPr>
          <w:p>
            <w:pPr>
              <w:jc w:val="center"/>
            </w:pPr>
            <w:r>
              <w:t>0</w:t>
            </w:r>
          </w:p>
        </w:tc>
        <w:tc>
          <w:tcPr>
            <w:tcW w:w="1379" w:type="dxa"/>
            <w:vAlign w:val="center"/>
          </w:tcPr>
          <w:p>
            <w:pPr>
              <w:jc w:val="center"/>
            </w:pPr>
            <w: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18" w:type="dxa"/>
            <w:vAlign w:val="center"/>
          </w:tcPr>
          <w:p>
            <w:pPr>
              <w:jc w:val="center"/>
            </w:pPr>
            <w:r>
              <w:t>120410T</w:t>
            </w:r>
          </w:p>
        </w:tc>
        <w:tc>
          <w:tcPr>
            <w:tcW w:w="1950" w:type="dxa"/>
            <w:vAlign w:val="center"/>
          </w:tcPr>
          <w:p>
            <w:pPr>
              <w:jc w:val="center"/>
            </w:pPr>
            <w:r>
              <w:t>健康服务与管理</w:t>
            </w:r>
          </w:p>
        </w:tc>
        <w:tc>
          <w:tcPr>
            <w:tcW w:w="1000" w:type="dxa"/>
            <w:vAlign w:val="center"/>
          </w:tcPr>
          <w:p>
            <w:pPr>
              <w:jc w:val="center"/>
            </w:pPr>
            <w:r>
              <w:rPr>
                <w:rFonts w:hint="eastAsia"/>
              </w:rPr>
              <w:t>5</w:t>
            </w:r>
          </w:p>
        </w:tc>
        <w:tc>
          <w:tcPr>
            <w:tcW w:w="800" w:type="dxa"/>
            <w:vAlign w:val="center"/>
          </w:tcPr>
          <w:p>
            <w:pPr>
              <w:jc w:val="center"/>
              <w:rPr>
                <w:rFonts w:hint="default" w:eastAsia="宋体"/>
                <w:lang w:val="en-US" w:eastAsia="zh-CN"/>
              </w:rPr>
            </w:pPr>
            <w:r>
              <w:rPr>
                <w:rFonts w:hint="eastAsia"/>
                <w:lang w:val="en-US" w:eastAsia="zh-CN"/>
              </w:rPr>
              <w:t>16.80</w:t>
            </w:r>
          </w:p>
        </w:tc>
        <w:tc>
          <w:tcPr>
            <w:tcW w:w="1100" w:type="dxa"/>
            <w:vAlign w:val="center"/>
          </w:tcPr>
          <w:p>
            <w:pPr>
              <w:jc w:val="center"/>
              <w:rPr>
                <w:rFonts w:hint="eastAsia" w:eastAsia="宋体"/>
                <w:lang w:eastAsia="zh-CN"/>
              </w:rPr>
            </w:pPr>
            <w:r>
              <w:rPr>
                <w:rFonts w:hint="eastAsia"/>
                <w:lang w:val="en-US" w:eastAsia="zh-CN"/>
              </w:rPr>
              <w:t>5</w:t>
            </w:r>
          </w:p>
        </w:tc>
        <w:tc>
          <w:tcPr>
            <w:tcW w:w="975" w:type="dxa"/>
            <w:vAlign w:val="center"/>
          </w:tcPr>
          <w:p>
            <w:pPr>
              <w:jc w:val="center"/>
            </w:pPr>
            <w:r>
              <w:t>0</w:t>
            </w:r>
          </w:p>
        </w:tc>
        <w:tc>
          <w:tcPr>
            <w:tcW w:w="1379" w:type="dxa"/>
            <w:vAlign w:val="center"/>
          </w:tcPr>
          <w:p>
            <w:pPr>
              <w:jc w:val="center"/>
              <w:rPr>
                <w:rFonts w:hint="eastAsia" w:eastAsia="宋体"/>
                <w:lang w:eastAsia="zh-CN"/>
              </w:rPr>
            </w:pPr>
            <w:r>
              <w:rPr>
                <w:rFonts w:hint="eastAsia"/>
                <w:lang w:val="en-US" w:eastAsia="zh-CN"/>
              </w:rPr>
              <w:t>1</w:t>
            </w:r>
          </w:p>
        </w:tc>
      </w:tr>
    </w:tbl>
    <w:p>
      <w:pPr>
        <w:jc w:val="left"/>
        <w:rPr>
          <w:rFonts w:ascii="宋体" w:hAnsi="宋体"/>
          <w:sz w:val="24"/>
          <w:szCs w:val="24"/>
        </w:rPr>
      </w:pPr>
      <w:r>
        <w:rPr>
          <w:rFonts w:hint="eastAsia" w:ascii="宋体" w:hAnsi="宋体"/>
          <w:sz w:val="24"/>
          <w:szCs w:val="24"/>
        </w:rPr>
        <w:t>备注：临床医学、预防医学、护理学、医技类专业等专业师资不包括临床教师。</w:t>
      </w:r>
    </w:p>
    <w:p>
      <w:pPr>
        <w:jc w:val="left"/>
      </w:pPr>
    </w:p>
    <w:p>
      <w:pPr>
        <w:jc w:val="center"/>
        <w:rPr>
          <w:rFonts w:ascii="宋体" w:hAnsi="宋体"/>
          <w:sz w:val="24"/>
          <w:szCs w:val="24"/>
        </w:rPr>
      </w:pPr>
      <w:r>
        <w:rPr>
          <w:rFonts w:hint="eastAsia" w:ascii="宋体" w:hAnsi="宋体"/>
          <w:sz w:val="24"/>
          <w:szCs w:val="24"/>
        </w:rPr>
        <w:t>附表3 分专业专任教师职称、学历结构</w:t>
      </w:r>
    </w:p>
    <w:tbl>
      <w:tblPr>
        <w:tblStyle w:val="22"/>
        <w:tblW w:w="9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8"/>
        <w:gridCol w:w="1900"/>
        <w:gridCol w:w="804"/>
        <w:gridCol w:w="881"/>
        <w:gridCol w:w="949"/>
        <w:gridCol w:w="600"/>
        <w:gridCol w:w="840"/>
        <w:gridCol w:w="600"/>
        <w:gridCol w:w="555"/>
        <w:gridCol w:w="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188" w:type="dxa"/>
            <w:vMerge w:val="restart"/>
            <w:vAlign w:val="center"/>
          </w:tcPr>
          <w:p>
            <w:pPr>
              <w:jc w:val="center"/>
            </w:pPr>
            <w:r>
              <w:rPr>
                <w:rFonts w:hint="eastAsia" w:ascii="宋体" w:hAnsi="宋体"/>
                <w:szCs w:val="21"/>
              </w:rPr>
              <w:t>专业代码</w:t>
            </w:r>
          </w:p>
        </w:tc>
        <w:tc>
          <w:tcPr>
            <w:tcW w:w="1900" w:type="dxa"/>
            <w:vMerge w:val="restart"/>
            <w:vAlign w:val="center"/>
          </w:tcPr>
          <w:p>
            <w:pPr>
              <w:jc w:val="center"/>
            </w:pPr>
            <w:r>
              <w:rPr>
                <w:rFonts w:hint="eastAsia" w:ascii="宋体" w:hAnsi="宋体"/>
                <w:szCs w:val="21"/>
              </w:rPr>
              <w:t>专业名称</w:t>
            </w:r>
          </w:p>
        </w:tc>
        <w:tc>
          <w:tcPr>
            <w:tcW w:w="804" w:type="dxa"/>
            <w:vMerge w:val="restart"/>
            <w:vAlign w:val="center"/>
          </w:tcPr>
          <w:p>
            <w:pPr>
              <w:jc w:val="center"/>
            </w:pPr>
            <w:r>
              <w:rPr>
                <w:rFonts w:hint="eastAsia" w:ascii="宋体" w:hAnsi="宋体"/>
                <w:szCs w:val="21"/>
              </w:rPr>
              <w:t>专任教师总数</w:t>
            </w:r>
          </w:p>
        </w:tc>
        <w:tc>
          <w:tcPr>
            <w:tcW w:w="3270" w:type="dxa"/>
            <w:gridSpan w:val="4"/>
            <w:vAlign w:val="center"/>
          </w:tcPr>
          <w:p>
            <w:pPr>
              <w:jc w:val="center"/>
            </w:pPr>
            <w:r>
              <w:rPr>
                <w:rFonts w:hint="eastAsia" w:ascii="宋体" w:hAnsi="宋体"/>
                <w:szCs w:val="21"/>
              </w:rPr>
              <w:t>职称结构</w:t>
            </w:r>
          </w:p>
        </w:tc>
        <w:tc>
          <w:tcPr>
            <w:tcW w:w="1932" w:type="dxa"/>
            <w:gridSpan w:val="3"/>
            <w:vAlign w:val="center"/>
          </w:tcPr>
          <w:p>
            <w:pPr>
              <w:jc w:val="center"/>
            </w:pPr>
            <w:r>
              <w:rPr>
                <w:rFonts w:hint="eastAsia" w:ascii="宋体" w:hAnsi="宋体"/>
                <w:szCs w:val="21"/>
              </w:rPr>
              <w:t>学历结构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blHeader/>
          <w:jc w:val="center"/>
        </w:trPr>
        <w:tc>
          <w:tcPr>
            <w:tcW w:w="1188" w:type="dxa"/>
            <w:vMerge w:val="continue"/>
            <w:vAlign w:val="center"/>
          </w:tcPr>
          <w:p>
            <w:pPr>
              <w:jc w:val="center"/>
            </w:pPr>
          </w:p>
        </w:tc>
        <w:tc>
          <w:tcPr>
            <w:tcW w:w="1900" w:type="dxa"/>
            <w:vMerge w:val="continue"/>
            <w:vAlign w:val="center"/>
          </w:tcPr>
          <w:p>
            <w:pPr>
              <w:jc w:val="center"/>
            </w:pPr>
          </w:p>
        </w:tc>
        <w:tc>
          <w:tcPr>
            <w:tcW w:w="804" w:type="dxa"/>
            <w:vMerge w:val="continue"/>
            <w:vAlign w:val="center"/>
          </w:tcPr>
          <w:p>
            <w:pPr>
              <w:jc w:val="center"/>
            </w:pPr>
          </w:p>
        </w:tc>
        <w:tc>
          <w:tcPr>
            <w:tcW w:w="1830" w:type="dxa"/>
            <w:gridSpan w:val="2"/>
            <w:vAlign w:val="center"/>
          </w:tcPr>
          <w:p>
            <w:pPr>
              <w:jc w:val="center"/>
            </w:pPr>
            <w:r>
              <w:rPr>
                <w:rFonts w:hint="eastAsia" w:ascii="宋体" w:hAnsi="宋体"/>
                <w:szCs w:val="21"/>
              </w:rPr>
              <w:t>教授</w:t>
            </w:r>
          </w:p>
        </w:tc>
        <w:tc>
          <w:tcPr>
            <w:tcW w:w="600" w:type="dxa"/>
            <w:vMerge w:val="restart"/>
            <w:vAlign w:val="center"/>
          </w:tcPr>
          <w:p>
            <w:pPr>
              <w:jc w:val="center"/>
            </w:pPr>
            <w:r>
              <w:rPr>
                <w:rFonts w:hint="eastAsia" w:ascii="宋体" w:hAnsi="宋体"/>
                <w:szCs w:val="21"/>
              </w:rPr>
              <w:t>副教授</w:t>
            </w:r>
          </w:p>
        </w:tc>
        <w:tc>
          <w:tcPr>
            <w:tcW w:w="840" w:type="dxa"/>
            <w:vMerge w:val="restart"/>
            <w:vAlign w:val="center"/>
          </w:tcPr>
          <w:p>
            <w:pPr>
              <w:jc w:val="center"/>
            </w:pPr>
            <w:r>
              <w:rPr>
                <w:rFonts w:hint="eastAsia" w:ascii="宋体" w:hAnsi="宋体"/>
                <w:szCs w:val="21"/>
              </w:rPr>
              <w:t>中级及以下</w:t>
            </w:r>
          </w:p>
        </w:tc>
        <w:tc>
          <w:tcPr>
            <w:tcW w:w="600" w:type="dxa"/>
            <w:vMerge w:val="restart"/>
            <w:vAlign w:val="center"/>
          </w:tcPr>
          <w:p>
            <w:pPr>
              <w:jc w:val="center"/>
            </w:pPr>
            <w:r>
              <w:rPr>
                <w:rFonts w:hint="eastAsia" w:ascii="宋体" w:hAnsi="宋体"/>
                <w:szCs w:val="21"/>
              </w:rPr>
              <w:t>博士</w:t>
            </w:r>
          </w:p>
        </w:tc>
        <w:tc>
          <w:tcPr>
            <w:tcW w:w="555" w:type="dxa"/>
            <w:vMerge w:val="restart"/>
            <w:vAlign w:val="center"/>
          </w:tcPr>
          <w:p>
            <w:pPr>
              <w:jc w:val="center"/>
            </w:pPr>
            <w:r>
              <w:rPr>
                <w:rFonts w:hint="eastAsia" w:ascii="宋体" w:hAnsi="宋体"/>
                <w:szCs w:val="21"/>
              </w:rPr>
              <w:t>硕士</w:t>
            </w:r>
          </w:p>
        </w:tc>
        <w:tc>
          <w:tcPr>
            <w:tcW w:w="777" w:type="dxa"/>
            <w:vMerge w:val="restart"/>
            <w:vAlign w:val="center"/>
          </w:tcPr>
          <w:p>
            <w:pPr>
              <w:jc w:val="center"/>
            </w:pPr>
            <w:r>
              <w:rPr>
                <w:rFonts w:hint="eastAsia" w:ascii="宋体" w:hAnsi="宋体"/>
                <w:szCs w:val="21"/>
              </w:rPr>
              <w:t>学士及以下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188" w:type="dxa"/>
            <w:vMerge w:val="continue"/>
            <w:vAlign w:val="center"/>
          </w:tcPr>
          <w:p>
            <w:pPr>
              <w:jc w:val="center"/>
            </w:pPr>
          </w:p>
        </w:tc>
        <w:tc>
          <w:tcPr>
            <w:tcW w:w="1900" w:type="dxa"/>
            <w:vMerge w:val="continue"/>
            <w:vAlign w:val="center"/>
          </w:tcPr>
          <w:p>
            <w:pPr>
              <w:jc w:val="center"/>
            </w:pPr>
          </w:p>
        </w:tc>
        <w:tc>
          <w:tcPr>
            <w:tcW w:w="804" w:type="dxa"/>
            <w:vMerge w:val="continue"/>
            <w:vAlign w:val="center"/>
          </w:tcPr>
          <w:p>
            <w:pPr>
              <w:jc w:val="center"/>
            </w:pPr>
          </w:p>
        </w:tc>
        <w:tc>
          <w:tcPr>
            <w:tcW w:w="881" w:type="dxa"/>
            <w:vAlign w:val="center"/>
          </w:tcPr>
          <w:p>
            <w:pPr>
              <w:jc w:val="center"/>
            </w:pPr>
            <w:r>
              <w:rPr>
                <w:rFonts w:hint="eastAsia" w:ascii="宋体" w:hAnsi="宋体"/>
                <w:szCs w:val="21"/>
              </w:rPr>
              <w:t>数量</w:t>
            </w:r>
          </w:p>
        </w:tc>
        <w:tc>
          <w:tcPr>
            <w:tcW w:w="949" w:type="dxa"/>
            <w:vAlign w:val="center"/>
          </w:tcPr>
          <w:p>
            <w:pPr>
              <w:jc w:val="center"/>
            </w:pPr>
            <w:r>
              <w:rPr>
                <w:rFonts w:hint="eastAsia" w:ascii="宋体" w:hAnsi="宋体"/>
                <w:szCs w:val="21"/>
              </w:rPr>
              <w:t>授课教授比例（%）</w:t>
            </w:r>
          </w:p>
        </w:tc>
        <w:tc>
          <w:tcPr>
            <w:tcW w:w="600" w:type="dxa"/>
            <w:vMerge w:val="continue"/>
            <w:vAlign w:val="center"/>
          </w:tcPr>
          <w:p>
            <w:pPr>
              <w:jc w:val="center"/>
              <w:rPr>
                <w:rFonts w:ascii="宋体" w:hAnsi="宋体"/>
                <w:szCs w:val="21"/>
              </w:rPr>
            </w:pPr>
          </w:p>
        </w:tc>
        <w:tc>
          <w:tcPr>
            <w:tcW w:w="840" w:type="dxa"/>
            <w:vMerge w:val="continue"/>
            <w:vAlign w:val="center"/>
          </w:tcPr>
          <w:p>
            <w:pPr>
              <w:jc w:val="center"/>
            </w:pPr>
          </w:p>
        </w:tc>
        <w:tc>
          <w:tcPr>
            <w:tcW w:w="600" w:type="dxa"/>
            <w:vMerge w:val="continue"/>
            <w:vAlign w:val="center"/>
          </w:tcPr>
          <w:p>
            <w:pPr>
              <w:jc w:val="center"/>
            </w:pPr>
          </w:p>
        </w:tc>
        <w:tc>
          <w:tcPr>
            <w:tcW w:w="555" w:type="dxa"/>
            <w:vMerge w:val="continue"/>
            <w:vAlign w:val="center"/>
          </w:tcPr>
          <w:p>
            <w:pPr>
              <w:jc w:val="center"/>
            </w:pPr>
          </w:p>
        </w:tc>
        <w:tc>
          <w:tcPr>
            <w:tcW w:w="777" w:type="dxa"/>
            <w:vMerge w:val="continue"/>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082601</w:t>
            </w:r>
          </w:p>
        </w:tc>
        <w:tc>
          <w:tcPr>
            <w:tcW w:w="1900" w:type="dxa"/>
            <w:vAlign w:val="center"/>
          </w:tcPr>
          <w:p>
            <w:pPr>
              <w:jc w:val="center"/>
            </w:pPr>
            <w:r>
              <w:t>生物医学工程</w:t>
            </w:r>
          </w:p>
        </w:tc>
        <w:tc>
          <w:tcPr>
            <w:tcW w:w="804" w:type="dxa"/>
            <w:vAlign w:val="center"/>
          </w:tcPr>
          <w:p>
            <w:pPr>
              <w:jc w:val="center"/>
            </w:pPr>
            <w:r>
              <w:t>14</w:t>
            </w:r>
          </w:p>
        </w:tc>
        <w:tc>
          <w:tcPr>
            <w:tcW w:w="881" w:type="dxa"/>
            <w:vAlign w:val="center"/>
          </w:tcPr>
          <w:p>
            <w:pPr>
              <w:jc w:val="center"/>
            </w:pPr>
            <w:r>
              <w:t>0</w:t>
            </w:r>
          </w:p>
        </w:tc>
        <w:tc>
          <w:tcPr>
            <w:tcW w:w="949" w:type="dxa"/>
            <w:vAlign w:val="center"/>
          </w:tcPr>
          <w:p>
            <w:pPr>
              <w:jc w:val="center"/>
            </w:pPr>
            <w:r>
              <w:t>--</w:t>
            </w:r>
          </w:p>
        </w:tc>
        <w:tc>
          <w:tcPr>
            <w:tcW w:w="600" w:type="dxa"/>
            <w:vAlign w:val="center"/>
          </w:tcPr>
          <w:p>
            <w:pPr>
              <w:jc w:val="center"/>
            </w:pPr>
            <w:r>
              <w:t>3</w:t>
            </w:r>
          </w:p>
        </w:tc>
        <w:tc>
          <w:tcPr>
            <w:tcW w:w="840" w:type="dxa"/>
            <w:vAlign w:val="center"/>
          </w:tcPr>
          <w:p>
            <w:pPr>
              <w:jc w:val="center"/>
            </w:pPr>
            <w:r>
              <w:t>11</w:t>
            </w:r>
          </w:p>
        </w:tc>
        <w:tc>
          <w:tcPr>
            <w:tcW w:w="600" w:type="dxa"/>
            <w:vAlign w:val="center"/>
          </w:tcPr>
          <w:p>
            <w:pPr>
              <w:jc w:val="center"/>
            </w:pPr>
            <w:r>
              <w:t>2</w:t>
            </w:r>
          </w:p>
        </w:tc>
        <w:tc>
          <w:tcPr>
            <w:tcW w:w="555" w:type="dxa"/>
            <w:vAlign w:val="center"/>
          </w:tcPr>
          <w:p>
            <w:pPr>
              <w:jc w:val="center"/>
            </w:pPr>
            <w:r>
              <w:t>10</w:t>
            </w:r>
          </w:p>
        </w:tc>
        <w:tc>
          <w:tcPr>
            <w:tcW w:w="77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083002T</w:t>
            </w:r>
          </w:p>
        </w:tc>
        <w:tc>
          <w:tcPr>
            <w:tcW w:w="1900" w:type="dxa"/>
            <w:vAlign w:val="center"/>
          </w:tcPr>
          <w:p>
            <w:pPr>
              <w:jc w:val="center"/>
            </w:pPr>
            <w:r>
              <w:t>生物制药</w:t>
            </w:r>
          </w:p>
        </w:tc>
        <w:tc>
          <w:tcPr>
            <w:tcW w:w="804" w:type="dxa"/>
            <w:vAlign w:val="center"/>
          </w:tcPr>
          <w:p>
            <w:pPr>
              <w:jc w:val="center"/>
            </w:pPr>
            <w:r>
              <w:t>7</w:t>
            </w:r>
          </w:p>
        </w:tc>
        <w:tc>
          <w:tcPr>
            <w:tcW w:w="881" w:type="dxa"/>
            <w:vAlign w:val="center"/>
          </w:tcPr>
          <w:p>
            <w:pPr>
              <w:jc w:val="center"/>
            </w:pPr>
            <w:r>
              <w:t>0</w:t>
            </w:r>
          </w:p>
        </w:tc>
        <w:tc>
          <w:tcPr>
            <w:tcW w:w="949" w:type="dxa"/>
            <w:vAlign w:val="center"/>
          </w:tcPr>
          <w:p>
            <w:pPr>
              <w:jc w:val="center"/>
            </w:pPr>
            <w:r>
              <w:t>--</w:t>
            </w:r>
          </w:p>
        </w:tc>
        <w:tc>
          <w:tcPr>
            <w:tcW w:w="600" w:type="dxa"/>
            <w:vAlign w:val="center"/>
          </w:tcPr>
          <w:p>
            <w:pPr>
              <w:jc w:val="center"/>
            </w:pPr>
            <w:r>
              <w:t>4</w:t>
            </w:r>
          </w:p>
        </w:tc>
        <w:tc>
          <w:tcPr>
            <w:tcW w:w="840" w:type="dxa"/>
            <w:vAlign w:val="center"/>
          </w:tcPr>
          <w:p>
            <w:pPr>
              <w:jc w:val="center"/>
            </w:pPr>
            <w:r>
              <w:t>3</w:t>
            </w:r>
          </w:p>
        </w:tc>
        <w:tc>
          <w:tcPr>
            <w:tcW w:w="600" w:type="dxa"/>
            <w:vAlign w:val="center"/>
          </w:tcPr>
          <w:p>
            <w:pPr>
              <w:jc w:val="center"/>
            </w:pPr>
            <w:r>
              <w:t>2</w:t>
            </w:r>
          </w:p>
        </w:tc>
        <w:tc>
          <w:tcPr>
            <w:tcW w:w="555" w:type="dxa"/>
            <w:vAlign w:val="center"/>
          </w:tcPr>
          <w:p>
            <w:pPr>
              <w:jc w:val="center"/>
            </w:pPr>
            <w:r>
              <w:t>5</w:t>
            </w:r>
          </w:p>
        </w:tc>
        <w:tc>
          <w:tcPr>
            <w:tcW w:w="777" w:type="dxa"/>
            <w:vAlign w:val="center"/>
          </w:tcPr>
          <w:p>
            <w:pPr>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100201K</w:t>
            </w:r>
          </w:p>
        </w:tc>
        <w:tc>
          <w:tcPr>
            <w:tcW w:w="1900" w:type="dxa"/>
            <w:vAlign w:val="center"/>
          </w:tcPr>
          <w:p>
            <w:pPr>
              <w:jc w:val="center"/>
            </w:pPr>
            <w:r>
              <w:t>临床医学</w:t>
            </w:r>
          </w:p>
        </w:tc>
        <w:tc>
          <w:tcPr>
            <w:tcW w:w="804" w:type="dxa"/>
            <w:vAlign w:val="center"/>
          </w:tcPr>
          <w:p>
            <w:pPr>
              <w:jc w:val="center"/>
            </w:pPr>
            <w:r>
              <w:t>49</w:t>
            </w:r>
          </w:p>
        </w:tc>
        <w:tc>
          <w:tcPr>
            <w:tcW w:w="881" w:type="dxa"/>
            <w:vAlign w:val="center"/>
          </w:tcPr>
          <w:p>
            <w:pPr>
              <w:jc w:val="center"/>
            </w:pPr>
            <w:r>
              <w:t>10</w:t>
            </w:r>
          </w:p>
        </w:tc>
        <w:tc>
          <w:tcPr>
            <w:tcW w:w="949" w:type="dxa"/>
            <w:vAlign w:val="center"/>
          </w:tcPr>
          <w:p>
            <w:pPr>
              <w:jc w:val="center"/>
            </w:pPr>
            <w:r>
              <w:t>90.00</w:t>
            </w:r>
          </w:p>
        </w:tc>
        <w:tc>
          <w:tcPr>
            <w:tcW w:w="600" w:type="dxa"/>
            <w:vAlign w:val="center"/>
          </w:tcPr>
          <w:p>
            <w:pPr>
              <w:jc w:val="center"/>
            </w:pPr>
            <w:r>
              <w:t>5</w:t>
            </w:r>
          </w:p>
        </w:tc>
        <w:tc>
          <w:tcPr>
            <w:tcW w:w="840" w:type="dxa"/>
            <w:vAlign w:val="center"/>
          </w:tcPr>
          <w:p>
            <w:pPr>
              <w:jc w:val="center"/>
            </w:pPr>
            <w:r>
              <w:t>24</w:t>
            </w:r>
          </w:p>
        </w:tc>
        <w:tc>
          <w:tcPr>
            <w:tcW w:w="600" w:type="dxa"/>
            <w:vAlign w:val="center"/>
          </w:tcPr>
          <w:p>
            <w:pPr>
              <w:jc w:val="center"/>
            </w:pPr>
            <w:r>
              <w:t>8</w:t>
            </w:r>
          </w:p>
        </w:tc>
        <w:tc>
          <w:tcPr>
            <w:tcW w:w="555" w:type="dxa"/>
            <w:vAlign w:val="center"/>
          </w:tcPr>
          <w:p>
            <w:pPr>
              <w:jc w:val="center"/>
            </w:pPr>
            <w:r>
              <w:t>28</w:t>
            </w:r>
          </w:p>
        </w:tc>
        <w:tc>
          <w:tcPr>
            <w:tcW w:w="777" w:type="dxa"/>
            <w:vAlign w:val="center"/>
          </w:tcPr>
          <w:p>
            <w:pPr>
              <w:jc w:val="center"/>
            </w:pPr>
            <w: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100401K</w:t>
            </w:r>
          </w:p>
        </w:tc>
        <w:tc>
          <w:tcPr>
            <w:tcW w:w="1900" w:type="dxa"/>
            <w:vAlign w:val="center"/>
          </w:tcPr>
          <w:p>
            <w:pPr>
              <w:jc w:val="center"/>
            </w:pPr>
            <w:r>
              <w:t>预防医学</w:t>
            </w:r>
          </w:p>
        </w:tc>
        <w:tc>
          <w:tcPr>
            <w:tcW w:w="804" w:type="dxa"/>
            <w:vAlign w:val="center"/>
          </w:tcPr>
          <w:p>
            <w:pPr>
              <w:jc w:val="center"/>
            </w:pPr>
            <w:r>
              <w:t>26</w:t>
            </w:r>
          </w:p>
        </w:tc>
        <w:tc>
          <w:tcPr>
            <w:tcW w:w="881" w:type="dxa"/>
            <w:vAlign w:val="center"/>
          </w:tcPr>
          <w:p>
            <w:pPr>
              <w:jc w:val="center"/>
            </w:pPr>
            <w:r>
              <w:t>6</w:t>
            </w:r>
          </w:p>
        </w:tc>
        <w:tc>
          <w:tcPr>
            <w:tcW w:w="949" w:type="dxa"/>
            <w:vAlign w:val="center"/>
          </w:tcPr>
          <w:p>
            <w:pPr>
              <w:jc w:val="center"/>
            </w:pPr>
            <w:r>
              <w:t>100.00</w:t>
            </w:r>
          </w:p>
        </w:tc>
        <w:tc>
          <w:tcPr>
            <w:tcW w:w="600" w:type="dxa"/>
            <w:vAlign w:val="center"/>
          </w:tcPr>
          <w:p>
            <w:pPr>
              <w:jc w:val="center"/>
            </w:pPr>
            <w:r>
              <w:t>7</w:t>
            </w:r>
          </w:p>
        </w:tc>
        <w:tc>
          <w:tcPr>
            <w:tcW w:w="840" w:type="dxa"/>
            <w:vAlign w:val="center"/>
          </w:tcPr>
          <w:p>
            <w:pPr>
              <w:jc w:val="center"/>
            </w:pPr>
            <w:r>
              <w:t>11</w:t>
            </w:r>
          </w:p>
        </w:tc>
        <w:tc>
          <w:tcPr>
            <w:tcW w:w="600" w:type="dxa"/>
            <w:vAlign w:val="center"/>
          </w:tcPr>
          <w:p>
            <w:pPr>
              <w:jc w:val="center"/>
            </w:pPr>
            <w:r>
              <w:t>10</w:t>
            </w:r>
          </w:p>
        </w:tc>
        <w:tc>
          <w:tcPr>
            <w:tcW w:w="555" w:type="dxa"/>
            <w:vAlign w:val="center"/>
          </w:tcPr>
          <w:p>
            <w:pPr>
              <w:jc w:val="center"/>
            </w:pPr>
            <w:r>
              <w:t>14</w:t>
            </w:r>
          </w:p>
        </w:tc>
        <w:tc>
          <w:tcPr>
            <w:tcW w:w="77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100701</w:t>
            </w:r>
          </w:p>
        </w:tc>
        <w:tc>
          <w:tcPr>
            <w:tcW w:w="1900" w:type="dxa"/>
            <w:vAlign w:val="center"/>
          </w:tcPr>
          <w:p>
            <w:pPr>
              <w:jc w:val="center"/>
            </w:pPr>
            <w:r>
              <w:t>药学</w:t>
            </w:r>
          </w:p>
        </w:tc>
        <w:tc>
          <w:tcPr>
            <w:tcW w:w="804" w:type="dxa"/>
            <w:vAlign w:val="center"/>
          </w:tcPr>
          <w:p>
            <w:pPr>
              <w:jc w:val="center"/>
            </w:pPr>
            <w:r>
              <w:t>13</w:t>
            </w:r>
          </w:p>
        </w:tc>
        <w:tc>
          <w:tcPr>
            <w:tcW w:w="881" w:type="dxa"/>
            <w:vAlign w:val="center"/>
          </w:tcPr>
          <w:p>
            <w:pPr>
              <w:jc w:val="center"/>
            </w:pPr>
            <w:r>
              <w:t>1</w:t>
            </w:r>
          </w:p>
        </w:tc>
        <w:tc>
          <w:tcPr>
            <w:tcW w:w="949" w:type="dxa"/>
            <w:vAlign w:val="center"/>
          </w:tcPr>
          <w:p>
            <w:pPr>
              <w:jc w:val="center"/>
            </w:pPr>
            <w:r>
              <w:t>100.00</w:t>
            </w:r>
          </w:p>
        </w:tc>
        <w:tc>
          <w:tcPr>
            <w:tcW w:w="600" w:type="dxa"/>
            <w:vAlign w:val="center"/>
          </w:tcPr>
          <w:p>
            <w:pPr>
              <w:jc w:val="center"/>
            </w:pPr>
            <w:r>
              <w:t>5</w:t>
            </w:r>
          </w:p>
        </w:tc>
        <w:tc>
          <w:tcPr>
            <w:tcW w:w="840" w:type="dxa"/>
            <w:vAlign w:val="center"/>
          </w:tcPr>
          <w:p>
            <w:pPr>
              <w:jc w:val="center"/>
            </w:pPr>
            <w:r>
              <w:t>7</w:t>
            </w:r>
          </w:p>
        </w:tc>
        <w:tc>
          <w:tcPr>
            <w:tcW w:w="600" w:type="dxa"/>
            <w:vAlign w:val="center"/>
          </w:tcPr>
          <w:p>
            <w:pPr>
              <w:jc w:val="center"/>
            </w:pPr>
            <w:r>
              <w:t>7</w:t>
            </w:r>
          </w:p>
        </w:tc>
        <w:tc>
          <w:tcPr>
            <w:tcW w:w="555" w:type="dxa"/>
            <w:vAlign w:val="center"/>
          </w:tcPr>
          <w:p>
            <w:pPr>
              <w:jc w:val="center"/>
            </w:pPr>
            <w:r>
              <w:t>6</w:t>
            </w:r>
          </w:p>
        </w:tc>
        <w:tc>
          <w:tcPr>
            <w:tcW w:w="777" w:type="dxa"/>
            <w:vAlign w:val="center"/>
          </w:tcPr>
          <w:p>
            <w:pPr>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101001</w:t>
            </w:r>
          </w:p>
        </w:tc>
        <w:tc>
          <w:tcPr>
            <w:tcW w:w="1900" w:type="dxa"/>
            <w:vAlign w:val="center"/>
          </w:tcPr>
          <w:p>
            <w:pPr>
              <w:jc w:val="center"/>
            </w:pPr>
            <w:r>
              <w:t>医学检验技术</w:t>
            </w:r>
          </w:p>
        </w:tc>
        <w:tc>
          <w:tcPr>
            <w:tcW w:w="804" w:type="dxa"/>
            <w:vAlign w:val="center"/>
          </w:tcPr>
          <w:p>
            <w:pPr>
              <w:jc w:val="center"/>
            </w:pPr>
            <w:r>
              <w:t>19</w:t>
            </w:r>
          </w:p>
        </w:tc>
        <w:tc>
          <w:tcPr>
            <w:tcW w:w="881" w:type="dxa"/>
            <w:vAlign w:val="center"/>
          </w:tcPr>
          <w:p>
            <w:pPr>
              <w:jc w:val="center"/>
            </w:pPr>
            <w:r>
              <w:t>1</w:t>
            </w:r>
          </w:p>
        </w:tc>
        <w:tc>
          <w:tcPr>
            <w:tcW w:w="949" w:type="dxa"/>
            <w:vAlign w:val="center"/>
          </w:tcPr>
          <w:p>
            <w:pPr>
              <w:jc w:val="center"/>
            </w:pPr>
            <w:r>
              <w:t>100.00</w:t>
            </w:r>
          </w:p>
        </w:tc>
        <w:tc>
          <w:tcPr>
            <w:tcW w:w="600" w:type="dxa"/>
            <w:vAlign w:val="center"/>
          </w:tcPr>
          <w:p>
            <w:pPr>
              <w:jc w:val="center"/>
            </w:pPr>
            <w:r>
              <w:t>1</w:t>
            </w:r>
          </w:p>
        </w:tc>
        <w:tc>
          <w:tcPr>
            <w:tcW w:w="840" w:type="dxa"/>
            <w:vAlign w:val="center"/>
          </w:tcPr>
          <w:p>
            <w:pPr>
              <w:jc w:val="center"/>
            </w:pPr>
            <w:r>
              <w:t>12</w:t>
            </w:r>
          </w:p>
        </w:tc>
        <w:tc>
          <w:tcPr>
            <w:tcW w:w="600" w:type="dxa"/>
            <w:vAlign w:val="center"/>
          </w:tcPr>
          <w:p>
            <w:pPr>
              <w:jc w:val="center"/>
            </w:pPr>
            <w:r>
              <w:t>1</w:t>
            </w:r>
          </w:p>
        </w:tc>
        <w:tc>
          <w:tcPr>
            <w:tcW w:w="555" w:type="dxa"/>
            <w:vAlign w:val="center"/>
          </w:tcPr>
          <w:p>
            <w:pPr>
              <w:jc w:val="center"/>
            </w:pPr>
            <w:r>
              <w:t>12</w:t>
            </w:r>
          </w:p>
        </w:tc>
        <w:tc>
          <w:tcPr>
            <w:tcW w:w="777" w:type="dxa"/>
            <w:vAlign w:val="center"/>
          </w:tcPr>
          <w:p>
            <w:pPr>
              <w:jc w:val="center"/>
            </w:pP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101003</w:t>
            </w:r>
          </w:p>
        </w:tc>
        <w:tc>
          <w:tcPr>
            <w:tcW w:w="1900" w:type="dxa"/>
            <w:vAlign w:val="center"/>
          </w:tcPr>
          <w:p>
            <w:pPr>
              <w:jc w:val="center"/>
            </w:pPr>
            <w:r>
              <w:t>医学影像技术</w:t>
            </w:r>
          </w:p>
        </w:tc>
        <w:tc>
          <w:tcPr>
            <w:tcW w:w="804" w:type="dxa"/>
            <w:vAlign w:val="center"/>
          </w:tcPr>
          <w:p>
            <w:pPr>
              <w:jc w:val="center"/>
            </w:pPr>
            <w:r>
              <w:t>27</w:t>
            </w:r>
          </w:p>
        </w:tc>
        <w:tc>
          <w:tcPr>
            <w:tcW w:w="881" w:type="dxa"/>
            <w:vAlign w:val="center"/>
          </w:tcPr>
          <w:p>
            <w:pPr>
              <w:jc w:val="center"/>
            </w:pPr>
            <w:r>
              <w:t>1</w:t>
            </w:r>
          </w:p>
        </w:tc>
        <w:tc>
          <w:tcPr>
            <w:tcW w:w="949" w:type="dxa"/>
            <w:vAlign w:val="center"/>
          </w:tcPr>
          <w:p>
            <w:pPr>
              <w:jc w:val="center"/>
            </w:pPr>
            <w:r>
              <w:t>100.00</w:t>
            </w:r>
          </w:p>
        </w:tc>
        <w:tc>
          <w:tcPr>
            <w:tcW w:w="600" w:type="dxa"/>
            <w:vAlign w:val="center"/>
          </w:tcPr>
          <w:p>
            <w:pPr>
              <w:jc w:val="center"/>
            </w:pPr>
            <w:r>
              <w:t>4</w:t>
            </w:r>
          </w:p>
        </w:tc>
        <w:tc>
          <w:tcPr>
            <w:tcW w:w="840" w:type="dxa"/>
            <w:vAlign w:val="center"/>
          </w:tcPr>
          <w:p>
            <w:pPr>
              <w:jc w:val="center"/>
            </w:pPr>
            <w:r>
              <w:t>12</w:t>
            </w:r>
          </w:p>
        </w:tc>
        <w:tc>
          <w:tcPr>
            <w:tcW w:w="600" w:type="dxa"/>
            <w:vAlign w:val="center"/>
          </w:tcPr>
          <w:p>
            <w:pPr>
              <w:jc w:val="center"/>
            </w:pPr>
            <w:r>
              <w:t>5</w:t>
            </w:r>
          </w:p>
        </w:tc>
        <w:tc>
          <w:tcPr>
            <w:tcW w:w="555" w:type="dxa"/>
            <w:vAlign w:val="center"/>
          </w:tcPr>
          <w:p>
            <w:pPr>
              <w:jc w:val="center"/>
            </w:pPr>
            <w:r>
              <w:t>14</w:t>
            </w:r>
          </w:p>
        </w:tc>
        <w:tc>
          <w:tcPr>
            <w:tcW w:w="777" w:type="dxa"/>
            <w:vAlign w:val="center"/>
          </w:tcPr>
          <w:p>
            <w:pPr>
              <w:jc w:val="center"/>
            </w:pPr>
            <w: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101004</w:t>
            </w:r>
          </w:p>
        </w:tc>
        <w:tc>
          <w:tcPr>
            <w:tcW w:w="1900" w:type="dxa"/>
            <w:vAlign w:val="center"/>
          </w:tcPr>
          <w:p>
            <w:pPr>
              <w:jc w:val="center"/>
            </w:pPr>
            <w:r>
              <w:t>眼视光学</w:t>
            </w:r>
          </w:p>
        </w:tc>
        <w:tc>
          <w:tcPr>
            <w:tcW w:w="804" w:type="dxa"/>
            <w:vAlign w:val="center"/>
          </w:tcPr>
          <w:p>
            <w:pPr>
              <w:jc w:val="center"/>
            </w:pPr>
            <w:r>
              <w:t>14</w:t>
            </w:r>
          </w:p>
        </w:tc>
        <w:tc>
          <w:tcPr>
            <w:tcW w:w="881" w:type="dxa"/>
            <w:vAlign w:val="center"/>
          </w:tcPr>
          <w:p>
            <w:pPr>
              <w:jc w:val="center"/>
            </w:pPr>
            <w:r>
              <w:t>2</w:t>
            </w:r>
          </w:p>
        </w:tc>
        <w:tc>
          <w:tcPr>
            <w:tcW w:w="949" w:type="dxa"/>
            <w:vAlign w:val="center"/>
          </w:tcPr>
          <w:p>
            <w:pPr>
              <w:jc w:val="center"/>
            </w:pPr>
            <w:r>
              <w:t>50.00</w:t>
            </w:r>
          </w:p>
        </w:tc>
        <w:tc>
          <w:tcPr>
            <w:tcW w:w="600" w:type="dxa"/>
            <w:vAlign w:val="center"/>
          </w:tcPr>
          <w:p>
            <w:pPr>
              <w:jc w:val="center"/>
            </w:pPr>
            <w:r>
              <w:t>1</w:t>
            </w:r>
          </w:p>
        </w:tc>
        <w:tc>
          <w:tcPr>
            <w:tcW w:w="840" w:type="dxa"/>
            <w:vAlign w:val="center"/>
          </w:tcPr>
          <w:p>
            <w:pPr>
              <w:jc w:val="center"/>
            </w:pPr>
            <w:r>
              <w:t>10</w:t>
            </w:r>
          </w:p>
        </w:tc>
        <w:tc>
          <w:tcPr>
            <w:tcW w:w="600" w:type="dxa"/>
            <w:vAlign w:val="center"/>
          </w:tcPr>
          <w:p>
            <w:pPr>
              <w:jc w:val="center"/>
            </w:pPr>
            <w:r>
              <w:t>2</w:t>
            </w:r>
          </w:p>
        </w:tc>
        <w:tc>
          <w:tcPr>
            <w:tcW w:w="555" w:type="dxa"/>
            <w:vAlign w:val="center"/>
          </w:tcPr>
          <w:p>
            <w:pPr>
              <w:jc w:val="center"/>
            </w:pPr>
            <w:r>
              <w:t>10</w:t>
            </w:r>
          </w:p>
        </w:tc>
        <w:tc>
          <w:tcPr>
            <w:tcW w:w="77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101005</w:t>
            </w:r>
          </w:p>
        </w:tc>
        <w:tc>
          <w:tcPr>
            <w:tcW w:w="1900" w:type="dxa"/>
            <w:vAlign w:val="center"/>
          </w:tcPr>
          <w:p>
            <w:pPr>
              <w:jc w:val="center"/>
            </w:pPr>
            <w:r>
              <w:t>康复治疗学</w:t>
            </w:r>
          </w:p>
        </w:tc>
        <w:tc>
          <w:tcPr>
            <w:tcW w:w="804" w:type="dxa"/>
            <w:vAlign w:val="center"/>
          </w:tcPr>
          <w:p>
            <w:pPr>
              <w:jc w:val="center"/>
            </w:pPr>
            <w:r>
              <w:t>22</w:t>
            </w:r>
          </w:p>
        </w:tc>
        <w:tc>
          <w:tcPr>
            <w:tcW w:w="881" w:type="dxa"/>
            <w:vAlign w:val="center"/>
          </w:tcPr>
          <w:p>
            <w:pPr>
              <w:jc w:val="center"/>
            </w:pPr>
            <w:r>
              <w:t>0</w:t>
            </w:r>
          </w:p>
        </w:tc>
        <w:tc>
          <w:tcPr>
            <w:tcW w:w="949" w:type="dxa"/>
            <w:vAlign w:val="center"/>
          </w:tcPr>
          <w:p>
            <w:pPr>
              <w:jc w:val="center"/>
            </w:pPr>
            <w:r>
              <w:t>--</w:t>
            </w:r>
          </w:p>
        </w:tc>
        <w:tc>
          <w:tcPr>
            <w:tcW w:w="600" w:type="dxa"/>
            <w:vAlign w:val="center"/>
          </w:tcPr>
          <w:p>
            <w:pPr>
              <w:jc w:val="center"/>
            </w:pPr>
            <w:r>
              <w:t>4</w:t>
            </w:r>
          </w:p>
        </w:tc>
        <w:tc>
          <w:tcPr>
            <w:tcW w:w="840" w:type="dxa"/>
            <w:vAlign w:val="center"/>
          </w:tcPr>
          <w:p>
            <w:pPr>
              <w:jc w:val="center"/>
            </w:pPr>
            <w:r>
              <w:t>13</w:t>
            </w:r>
          </w:p>
        </w:tc>
        <w:tc>
          <w:tcPr>
            <w:tcW w:w="600" w:type="dxa"/>
            <w:vAlign w:val="center"/>
          </w:tcPr>
          <w:p>
            <w:pPr>
              <w:jc w:val="center"/>
            </w:pPr>
            <w:r>
              <w:t>4</w:t>
            </w:r>
          </w:p>
        </w:tc>
        <w:tc>
          <w:tcPr>
            <w:tcW w:w="555" w:type="dxa"/>
            <w:vAlign w:val="center"/>
          </w:tcPr>
          <w:p>
            <w:pPr>
              <w:jc w:val="center"/>
            </w:pPr>
            <w:r>
              <w:t>13</w:t>
            </w:r>
          </w:p>
        </w:tc>
        <w:tc>
          <w:tcPr>
            <w:tcW w:w="777" w:type="dxa"/>
            <w:vAlign w:val="center"/>
          </w:tcPr>
          <w:p>
            <w:pPr>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101011T</w:t>
            </w:r>
          </w:p>
        </w:tc>
        <w:tc>
          <w:tcPr>
            <w:tcW w:w="1900" w:type="dxa"/>
            <w:vAlign w:val="center"/>
          </w:tcPr>
          <w:p>
            <w:pPr>
              <w:jc w:val="center"/>
            </w:pPr>
            <w:r>
              <w:t>智能医学工程</w:t>
            </w:r>
          </w:p>
        </w:tc>
        <w:tc>
          <w:tcPr>
            <w:tcW w:w="804" w:type="dxa"/>
            <w:vAlign w:val="center"/>
          </w:tcPr>
          <w:p>
            <w:pPr>
              <w:jc w:val="center"/>
            </w:pPr>
            <w:r>
              <w:t>7</w:t>
            </w:r>
          </w:p>
        </w:tc>
        <w:tc>
          <w:tcPr>
            <w:tcW w:w="881" w:type="dxa"/>
            <w:vAlign w:val="center"/>
          </w:tcPr>
          <w:p>
            <w:pPr>
              <w:jc w:val="center"/>
            </w:pPr>
            <w:r>
              <w:t>1</w:t>
            </w:r>
          </w:p>
        </w:tc>
        <w:tc>
          <w:tcPr>
            <w:tcW w:w="949" w:type="dxa"/>
            <w:vAlign w:val="center"/>
          </w:tcPr>
          <w:p>
            <w:pPr>
              <w:jc w:val="center"/>
            </w:pPr>
            <w:r>
              <w:t>0.00</w:t>
            </w:r>
          </w:p>
        </w:tc>
        <w:tc>
          <w:tcPr>
            <w:tcW w:w="600" w:type="dxa"/>
            <w:vAlign w:val="center"/>
          </w:tcPr>
          <w:p>
            <w:pPr>
              <w:jc w:val="center"/>
            </w:pPr>
            <w:r>
              <w:t>2</w:t>
            </w:r>
          </w:p>
        </w:tc>
        <w:tc>
          <w:tcPr>
            <w:tcW w:w="840" w:type="dxa"/>
            <w:vAlign w:val="center"/>
          </w:tcPr>
          <w:p>
            <w:pPr>
              <w:jc w:val="center"/>
            </w:pPr>
            <w:r>
              <w:t>4</w:t>
            </w:r>
          </w:p>
        </w:tc>
        <w:tc>
          <w:tcPr>
            <w:tcW w:w="600" w:type="dxa"/>
            <w:vAlign w:val="center"/>
          </w:tcPr>
          <w:p>
            <w:pPr>
              <w:jc w:val="center"/>
            </w:pPr>
            <w:r>
              <w:t>2</w:t>
            </w:r>
          </w:p>
        </w:tc>
        <w:tc>
          <w:tcPr>
            <w:tcW w:w="555" w:type="dxa"/>
            <w:vAlign w:val="center"/>
          </w:tcPr>
          <w:p>
            <w:pPr>
              <w:jc w:val="center"/>
            </w:pPr>
            <w:r>
              <w:t>4</w:t>
            </w:r>
          </w:p>
        </w:tc>
        <w:tc>
          <w:tcPr>
            <w:tcW w:w="777" w:type="dxa"/>
            <w:vAlign w:val="center"/>
          </w:tcPr>
          <w:p>
            <w:pPr>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101012T</w:t>
            </w:r>
          </w:p>
        </w:tc>
        <w:tc>
          <w:tcPr>
            <w:tcW w:w="1900" w:type="dxa"/>
            <w:vAlign w:val="center"/>
          </w:tcPr>
          <w:p>
            <w:pPr>
              <w:jc w:val="center"/>
            </w:pPr>
            <w:r>
              <w:t>生物医药数据科学</w:t>
            </w:r>
          </w:p>
        </w:tc>
        <w:tc>
          <w:tcPr>
            <w:tcW w:w="804" w:type="dxa"/>
            <w:vAlign w:val="center"/>
          </w:tcPr>
          <w:p>
            <w:pPr>
              <w:jc w:val="center"/>
            </w:pPr>
            <w:r>
              <w:t>6</w:t>
            </w:r>
          </w:p>
        </w:tc>
        <w:tc>
          <w:tcPr>
            <w:tcW w:w="881" w:type="dxa"/>
            <w:vAlign w:val="center"/>
          </w:tcPr>
          <w:p>
            <w:pPr>
              <w:jc w:val="center"/>
            </w:pPr>
            <w:r>
              <w:t>1</w:t>
            </w:r>
          </w:p>
        </w:tc>
        <w:tc>
          <w:tcPr>
            <w:tcW w:w="949" w:type="dxa"/>
            <w:vAlign w:val="center"/>
          </w:tcPr>
          <w:p>
            <w:pPr>
              <w:jc w:val="center"/>
            </w:pPr>
            <w:r>
              <w:t>100.00</w:t>
            </w:r>
          </w:p>
        </w:tc>
        <w:tc>
          <w:tcPr>
            <w:tcW w:w="600" w:type="dxa"/>
            <w:vAlign w:val="center"/>
          </w:tcPr>
          <w:p>
            <w:pPr>
              <w:jc w:val="center"/>
            </w:pPr>
            <w:r>
              <w:t>0</w:t>
            </w:r>
          </w:p>
        </w:tc>
        <w:tc>
          <w:tcPr>
            <w:tcW w:w="840" w:type="dxa"/>
            <w:vAlign w:val="center"/>
          </w:tcPr>
          <w:p>
            <w:pPr>
              <w:jc w:val="center"/>
            </w:pPr>
            <w:r>
              <w:t>5</w:t>
            </w:r>
          </w:p>
        </w:tc>
        <w:tc>
          <w:tcPr>
            <w:tcW w:w="600" w:type="dxa"/>
            <w:vAlign w:val="center"/>
          </w:tcPr>
          <w:p>
            <w:pPr>
              <w:jc w:val="center"/>
            </w:pPr>
            <w:r>
              <w:t>2</w:t>
            </w:r>
          </w:p>
        </w:tc>
        <w:tc>
          <w:tcPr>
            <w:tcW w:w="555" w:type="dxa"/>
            <w:vAlign w:val="center"/>
          </w:tcPr>
          <w:p>
            <w:pPr>
              <w:jc w:val="center"/>
            </w:pPr>
            <w:r>
              <w:t>4</w:t>
            </w:r>
          </w:p>
        </w:tc>
        <w:tc>
          <w:tcPr>
            <w:tcW w:w="777" w:type="dxa"/>
            <w:vAlign w:val="center"/>
          </w:tcPr>
          <w:p>
            <w:pPr>
              <w:jc w:val="center"/>
            </w:pPr>
            <w: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101101</w:t>
            </w:r>
          </w:p>
        </w:tc>
        <w:tc>
          <w:tcPr>
            <w:tcW w:w="1900" w:type="dxa"/>
            <w:vAlign w:val="center"/>
          </w:tcPr>
          <w:p>
            <w:pPr>
              <w:jc w:val="center"/>
            </w:pPr>
            <w:r>
              <w:t>护理学</w:t>
            </w:r>
          </w:p>
        </w:tc>
        <w:tc>
          <w:tcPr>
            <w:tcW w:w="804" w:type="dxa"/>
            <w:vAlign w:val="center"/>
          </w:tcPr>
          <w:p>
            <w:pPr>
              <w:jc w:val="center"/>
            </w:pPr>
            <w:r>
              <w:t>15</w:t>
            </w:r>
          </w:p>
        </w:tc>
        <w:tc>
          <w:tcPr>
            <w:tcW w:w="881" w:type="dxa"/>
            <w:vAlign w:val="center"/>
          </w:tcPr>
          <w:p>
            <w:pPr>
              <w:jc w:val="center"/>
            </w:pPr>
            <w:r>
              <w:t>2</w:t>
            </w:r>
          </w:p>
        </w:tc>
        <w:tc>
          <w:tcPr>
            <w:tcW w:w="949" w:type="dxa"/>
            <w:vAlign w:val="center"/>
          </w:tcPr>
          <w:p>
            <w:pPr>
              <w:jc w:val="center"/>
            </w:pPr>
            <w:r>
              <w:t>100.00</w:t>
            </w:r>
          </w:p>
        </w:tc>
        <w:tc>
          <w:tcPr>
            <w:tcW w:w="600" w:type="dxa"/>
            <w:vAlign w:val="center"/>
          </w:tcPr>
          <w:p>
            <w:pPr>
              <w:jc w:val="center"/>
            </w:pPr>
            <w:r>
              <w:t>1</w:t>
            </w:r>
          </w:p>
        </w:tc>
        <w:tc>
          <w:tcPr>
            <w:tcW w:w="840" w:type="dxa"/>
            <w:vAlign w:val="center"/>
          </w:tcPr>
          <w:p>
            <w:pPr>
              <w:jc w:val="center"/>
            </w:pPr>
            <w:r>
              <w:t>11</w:t>
            </w:r>
          </w:p>
        </w:tc>
        <w:tc>
          <w:tcPr>
            <w:tcW w:w="600" w:type="dxa"/>
            <w:vAlign w:val="center"/>
          </w:tcPr>
          <w:p>
            <w:pPr>
              <w:jc w:val="center"/>
            </w:pPr>
            <w:r>
              <w:t>1</w:t>
            </w:r>
          </w:p>
        </w:tc>
        <w:tc>
          <w:tcPr>
            <w:tcW w:w="555" w:type="dxa"/>
            <w:vAlign w:val="center"/>
          </w:tcPr>
          <w:p>
            <w:pPr>
              <w:jc w:val="center"/>
            </w:pPr>
            <w:r>
              <w:t>12</w:t>
            </w:r>
          </w:p>
        </w:tc>
        <w:tc>
          <w:tcPr>
            <w:tcW w:w="777" w:type="dxa"/>
            <w:vAlign w:val="center"/>
          </w:tcPr>
          <w:p>
            <w:pPr>
              <w:jc w:val="center"/>
            </w:pP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101102T</w:t>
            </w:r>
          </w:p>
        </w:tc>
        <w:tc>
          <w:tcPr>
            <w:tcW w:w="1900" w:type="dxa"/>
            <w:vAlign w:val="center"/>
          </w:tcPr>
          <w:p>
            <w:pPr>
              <w:jc w:val="center"/>
            </w:pPr>
            <w:r>
              <w:t>助产学</w:t>
            </w:r>
          </w:p>
        </w:tc>
        <w:tc>
          <w:tcPr>
            <w:tcW w:w="804" w:type="dxa"/>
            <w:vAlign w:val="center"/>
          </w:tcPr>
          <w:p>
            <w:pPr>
              <w:jc w:val="center"/>
            </w:pPr>
            <w:r>
              <w:t>5</w:t>
            </w:r>
          </w:p>
        </w:tc>
        <w:tc>
          <w:tcPr>
            <w:tcW w:w="881" w:type="dxa"/>
            <w:vAlign w:val="center"/>
          </w:tcPr>
          <w:p>
            <w:pPr>
              <w:jc w:val="center"/>
            </w:pPr>
            <w:r>
              <w:t>0</w:t>
            </w:r>
          </w:p>
        </w:tc>
        <w:tc>
          <w:tcPr>
            <w:tcW w:w="949" w:type="dxa"/>
            <w:vAlign w:val="center"/>
          </w:tcPr>
          <w:p>
            <w:pPr>
              <w:jc w:val="center"/>
            </w:pPr>
            <w:r>
              <w:t>--</w:t>
            </w:r>
          </w:p>
        </w:tc>
        <w:tc>
          <w:tcPr>
            <w:tcW w:w="600" w:type="dxa"/>
            <w:vAlign w:val="center"/>
          </w:tcPr>
          <w:p>
            <w:pPr>
              <w:jc w:val="center"/>
            </w:pPr>
            <w:r>
              <w:t>1</w:t>
            </w:r>
          </w:p>
        </w:tc>
        <w:tc>
          <w:tcPr>
            <w:tcW w:w="840" w:type="dxa"/>
            <w:vAlign w:val="center"/>
          </w:tcPr>
          <w:p>
            <w:pPr>
              <w:jc w:val="center"/>
            </w:pPr>
            <w:r>
              <w:t>3</w:t>
            </w:r>
          </w:p>
        </w:tc>
        <w:tc>
          <w:tcPr>
            <w:tcW w:w="600" w:type="dxa"/>
            <w:vAlign w:val="center"/>
          </w:tcPr>
          <w:p>
            <w:pPr>
              <w:jc w:val="center"/>
            </w:pPr>
            <w:r>
              <w:t>0</w:t>
            </w:r>
          </w:p>
        </w:tc>
        <w:tc>
          <w:tcPr>
            <w:tcW w:w="555" w:type="dxa"/>
            <w:vAlign w:val="center"/>
          </w:tcPr>
          <w:p>
            <w:pPr>
              <w:jc w:val="center"/>
            </w:pPr>
            <w:r>
              <w:t>4</w:t>
            </w:r>
          </w:p>
        </w:tc>
        <w:tc>
          <w:tcPr>
            <w:tcW w:w="777" w:type="dxa"/>
            <w:vAlign w:val="center"/>
          </w:tcPr>
          <w:p>
            <w:pPr>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120401</w:t>
            </w:r>
          </w:p>
        </w:tc>
        <w:tc>
          <w:tcPr>
            <w:tcW w:w="1900" w:type="dxa"/>
            <w:vAlign w:val="center"/>
          </w:tcPr>
          <w:p>
            <w:pPr>
              <w:jc w:val="center"/>
            </w:pPr>
            <w:r>
              <w:t>公共事业管理</w:t>
            </w:r>
          </w:p>
        </w:tc>
        <w:tc>
          <w:tcPr>
            <w:tcW w:w="804" w:type="dxa"/>
            <w:vAlign w:val="center"/>
          </w:tcPr>
          <w:p>
            <w:pPr>
              <w:jc w:val="center"/>
            </w:pPr>
            <w:r>
              <w:t>24</w:t>
            </w:r>
          </w:p>
        </w:tc>
        <w:tc>
          <w:tcPr>
            <w:tcW w:w="881" w:type="dxa"/>
            <w:vAlign w:val="center"/>
          </w:tcPr>
          <w:p>
            <w:pPr>
              <w:jc w:val="center"/>
            </w:pPr>
            <w:r>
              <w:t>0</w:t>
            </w:r>
          </w:p>
        </w:tc>
        <w:tc>
          <w:tcPr>
            <w:tcW w:w="949" w:type="dxa"/>
            <w:vAlign w:val="center"/>
          </w:tcPr>
          <w:p>
            <w:pPr>
              <w:jc w:val="center"/>
            </w:pPr>
            <w:r>
              <w:t>--</w:t>
            </w:r>
          </w:p>
        </w:tc>
        <w:tc>
          <w:tcPr>
            <w:tcW w:w="600" w:type="dxa"/>
            <w:vAlign w:val="center"/>
          </w:tcPr>
          <w:p>
            <w:pPr>
              <w:jc w:val="center"/>
            </w:pPr>
            <w:r>
              <w:t>2</w:t>
            </w:r>
          </w:p>
        </w:tc>
        <w:tc>
          <w:tcPr>
            <w:tcW w:w="840" w:type="dxa"/>
            <w:vAlign w:val="center"/>
          </w:tcPr>
          <w:p>
            <w:pPr>
              <w:jc w:val="center"/>
            </w:pPr>
            <w:r>
              <w:t>21</w:t>
            </w:r>
          </w:p>
        </w:tc>
        <w:tc>
          <w:tcPr>
            <w:tcW w:w="600" w:type="dxa"/>
            <w:vAlign w:val="center"/>
          </w:tcPr>
          <w:p>
            <w:pPr>
              <w:jc w:val="center"/>
            </w:pPr>
            <w:r>
              <w:t>2</w:t>
            </w:r>
          </w:p>
        </w:tc>
        <w:tc>
          <w:tcPr>
            <w:tcW w:w="555" w:type="dxa"/>
            <w:vAlign w:val="center"/>
          </w:tcPr>
          <w:p>
            <w:pPr>
              <w:jc w:val="center"/>
            </w:pPr>
            <w:r>
              <w:t>21</w:t>
            </w:r>
          </w:p>
        </w:tc>
        <w:tc>
          <w:tcPr>
            <w:tcW w:w="777" w:type="dxa"/>
            <w:vAlign w:val="center"/>
          </w:tcPr>
          <w:p>
            <w:pPr>
              <w:jc w:val="center"/>
            </w:pP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88" w:type="dxa"/>
            <w:vAlign w:val="center"/>
          </w:tcPr>
          <w:p>
            <w:pPr>
              <w:jc w:val="center"/>
            </w:pPr>
            <w:r>
              <w:t>120410T</w:t>
            </w:r>
          </w:p>
        </w:tc>
        <w:tc>
          <w:tcPr>
            <w:tcW w:w="1900" w:type="dxa"/>
            <w:vAlign w:val="center"/>
          </w:tcPr>
          <w:p>
            <w:pPr>
              <w:jc w:val="center"/>
            </w:pPr>
            <w:r>
              <w:t>健康服务与管理</w:t>
            </w:r>
          </w:p>
        </w:tc>
        <w:tc>
          <w:tcPr>
            <w:tcW w:w="804" w:type="dxa"/>
            <w:vAlign w:val="center"/>
          </w:tcPr>
          <w:p>
            <w:pPr>
              <w:jc w:val="center"/>
            </w:pPr>
            <w:r>
              <w:rPr>
                <w:rFonts w:hint="eastAsia"/>
              </w:rPr>
              <w:t>5</w:t>
            </w:r>
          </w:p>
        </w:tc>
        <w:tc>
          <w:tcPr>
            <w:tcW w:w="881" w:type="dxa"/>
            <w:vAlign w:val="center"/>
          </w:tcPr>
          <w:p>
            <w:pPr>
              <w:jc w:val="center"/>
            </w:pPr>
            <w:r>
              <w:t>0</w:t>
            </w:r>
          </w:p>
        </w:tc>
        <w:tc>
          <w:tcPr>
            <w:tcW w:w="949" w:type="dxa"/>
            <w:vAlign w:val="center"/>
          </w:tcPr>
          <w:p>
            <w:pPr>
              <w:jc w:val="center"/>
            </w:pPr>
            <w:r>
              <w:t>--</w:t>
            </w:r>
          </w:p>
        </w:tc>
        <w:tc>
          <w:tcPr>
            <w:tcW w:w="600" w:type="dxa"/>
            <w:vAlign w:val="center"/>
          </w:tcPr>
          <w:p>
            <w:pPr>
              <w:jc w:val="center"/>
              <w:rPr>
                <w:rFonts w:hint="eastAsia" w:eastAsia="宋体"/>
                <w:lang w:eastAsia="zh-CN"/>
              </w:rPr>
            </w:pPr>
            <w:r>
              <w:rPr>
                <w:rFonts w:hint="eastAsia"/>
                <w:lang w:val="en-US" w:eastAsia="zh-CN"/>
              </w:rPr>
              <w:t>1</w:t>
            </w:r>
          </w:p>
        </w:tc>
        <w:tc>
          <w:tcPr>
            <w:tcW w:w="840" w:type="dxa"/>
            <w:vAlign w:val="center"/>
          </w:tcPr>
          <w:p>
            <w:pPr>
              <w:jc w:val="center"/>
              <w:rPr>
                <w:rFonts w:hint="eastAsia" w:eastAsia="宋体"/>
                <w:lang w:eastAsia="zh-CN"/>
              </w:rPr>
            </w:pPr>
            <w:r>
              <w:rPr>
                <w:rFonts w:hint="eastAsia"/>
                <w:lang w:val="en-US" w:eastAsia="zh-CN"/>
              </w:rPr>
              <w:t>2</w:t>
            </w:r>
          </w:p>
        </w:tc>
        <w:tc>
          <w:tcPr>
            <w:tcW w:w="600" w:type="dxa"/>
            <w:vAlign w:val="center"/>
          </w:tcPr>
          <w:p>
            <w:pPr>
              <w:jc w:val="center"/>
              <w:rPr>
                <w:rFonts w:hint="eastAsia" w:eastAsia="宋体"/>
                <w:lang w:eastAsia="zh-CN"/>
              </w:rPr>
            </w:pPr>
            <w:r>
              <w:rPr>
                <w:rFonts w:hint="eastAsia"/>
                <w:lang w:val="en-US" w:eastAsia="zh-CN"/>
              </w:rPr>
              <w:t>1</w:t>
            </w:r>
          </w:p>
        </w:tc>
        <w:tc>
          <w:tcPr>
            <w:tcW w:w="555" w:type="dxa"/>
            <w:vAlign w:val="center"/>
          </w:tcPr>
          <w:p>
            <w:pPr>
              <w:jc w:val="center"/>
              <w:rPr>
                <w:rFonts w:hint="eastAsia" w:eastAsia="宋体"/>
                <w:lang w:eastAsia="zh-CN"/>
              </w:rPr>
            </w:pPr>
            <w:r>
              <w:rPr>
                <w:rFonts w:hint="eastAsia"/>
                <w:lang w:val="en-US" w:eastAsia="zh-CN"/>
              </w:rPr>
              <w:t>4</w:t>
            </w:r>
          </w:p>
        </w:tc>
        <w:tc>
          <w:tcPr>
            <w:tcW w:w="777" w:type="dxa"/>
            <w:vAlign w:val="center"/>
          </w:tcPr>
          <w:p>
            <w:pPr>
              <w:jc w:val="center"/>
            </w:pPr>
            <w:r>
              <w:t>0</w:t>
            </w:r>
          </w:p>
        </w:tc>
      </w:tr>
    </w:tbl>
    <w:p>
      <w:pPr>
        <w:jc w:val="left"/>
        <w:rPr>
          <w:rFonts w:ascii="宋体" w:hAnsi="宋体"/>
          <w:sz w:val="24"/>
          <w:szCs w:val="24"/>
        </w:rPr>
      </w:pPr>
      <w:r>
        <w:rPr>
          <w:rFonts w:hint="eastAsia" w:ascii="宋体" w:hAnsi="宋体"/>
          <w:sz w:val="24"/>
          <w:szCs w:val="24"/>
        </w:rPr>
        <w:t>备注：临床医学、预防医学、护理学、医技类专业等专业师资不包括临床教师。</w:t>
      </w:r>
    </w:p>
    <w:p>
      <w:pPr>
        <w:jc w:val="left"/>
      </w:pPr>
    </w:p>
    <w:p>
      <w:pPr>
        <w:jc w:val="left"/>
      </w:pPr>
      <w:r>
        <w:rPr>
          <w:rFonts w:hint="eastAsia" w:ascii="宋体" w:hAnsi="宋体"/>
          <w:sz w:val="24"/>
          <w:szCs w:val="24"/>
        </w:rPr>
        <w:t>3. 专业设置及调整情况</w:t>
      </w:r>
      <w:bookmarkStart w:id="202" w:name="_GoBack"/>
      <w:bookmarkEnd w:id="202"/>
    </w:p>
    <w:p>
      <w:pPr>
        <w:jc w:val="center"/>
      </w:pPr>
      <w:r>
        <w:rPr>
          <w:rFonts w:hint="eastAsia" w:ascii="宋体" w:hAnsi="宋体"/>
          <w:sz w:val="24"/>
          <w:szCs w:val="24"/>
        </w:rPr>
        <w:t>附表4  专业设置及调整情况</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2543"/>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717" w:type="dxa"/>
            <w:vAlign w:val="center"/>
          </w:tcPr>
          <w:p>
            <w:pPr>
              <w:jc w:val="center"/>
            </w:pPr>
            <w:r>
              <w:rPr>
                <w:rFonts w:hint="eastAsia" w:ascii="宋体" w:hAnsi="宋体"/>
                <w:szCs w:val="21"/>
              </w:rPr>
              <w:t>本科专业总数</w:t>
            </w:r>
          </w:p>
        </w:tc>
        <w:tc>
          <w:tcPr>
            <w:tcW w:w="2543" w:type="dxa"/>
            <w:vAlign w:val="center"/>
          </w:tcPr>
          <w:p>
            <w:pPr>
              <w:jc w:val="center"/>
            </w:pPr>
            <w:r>
              <w:rPr>
                <w:rFonts w:hint="eastAsia" w:ascii="宋体" w:hAnsi="宋体"/>
                <w:szCs w:val="21"/>
              </w:rPr>
              <w:t>在招专业数</w:t>
            </w:r>
          </w:p>
        </w:tc>
        <w:tc>
          <w:tcPr>
            <w:tcW w:w="2131" w:type="dxa"/>
            <w:vAlign w:val="center"/>
          </w:tcPr>
          <w:p>
            <w:pPr>
              <w:jc w:val="center"/>
            </w:pPr>
            <w:r>
              <w:rPr>
                <w:rFonts w:hint="eastAsia" w:ascii="宋体" w:hAnsi="宋体"/>
                <w:szCs w:val="21"/>
              </w:rPr>
              <w:t>新专业名单</w:t>
            </w:r>
          </w:p>
        </w:tc>
        <w:tc>
          <w:tcPr>
            <w:tcW w:w="2131" w:type="dxa"/>
            <w:vAlign w:val="center"/>
          </w:tcPr>
          <w:p>
            <w:pPr>
              <w:jc w:val="center"/>
            </w:pPr>
            <w:r>
              <w:rPr>
                <w:rFonts w:hint="eastAsia" w:ascii="宋体" w:hAnsi="宋体"/>
                <w:szCs w:val="21"/>
              </w:rPr>
              <w:t>当年停招专业名单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jc w:val="center"/>
        </w:trPr>
        <w:tc>
          <w:tcPr>
            <w:tcW w:w="1717" w:type="dxa"/>
            <w:vAlign w:val="center"/>
          </w:tcPr>
          <w:p>
            <w:pPr>
              <w:tabs>
                <w:tab w:val="left" w:pos="499"/>
              </w:tabs>
              <w:jc w:val="center"/>
            </w:pPr>
            <w:r>
              <w:rPr>
                <w:rFonts w:hint="eastAsia"/>
              </w:rPr>
              <w:t>15.0</w:t>
            </w:r>
          </w:p>
        </w:tc>
        <w:tc>
          <w:tcPr>
            <w:tcW w:w="2543" w:type="dxa"/>
            <w:vAlign w:val="center"/>
          </w:tcPr>
          <w:p>
            <w:pPr>
              <w:jc w:val="center"/>
            </w:pPr>
            <w:r>
              <w:rPr>
                <w:rFonts w:hint="eastAsia"/>
              </w:rPr>
              <w:t>15.0</w:t>
            </w:r>
          </w:p>
        </w:tc>
        <w:tc>
          <w:tcPr>
            <w:tcW w:w="2131" w:type="dxa"/>
            <w:vAlign w:val="center"/>
          </w:tcPr>
          <w:p>
            <w:pPr>
              <w:jc w:val="center"/>
            </w:pPr>
            <w:r>
              <w:rPr>
                <w:rFonts w:hint="eastAsia"/>
              </w:rPr>
              <w:t>生物制药</w:t>
            </w:r>
          </w:p>
        </w:tc>
        <w:tc>
          <w:tcPr>
            <w:tcW w:w="2131" w:type="dxa"/>
            <w:vAlign w:val="center"/>
          </w:tcPr>
          <w:p>
            <w:pPr>
              <w:jc w:val="center"/>
            </w:pPr>
          </w:p>
        </w:tc>
      </w:tr>
    </w:tbl>
    <w:p>
      <w:pPr>
        <w:jc w:val="left"/>
      </w:pPr>
    </w:p>
    <w:p>
      <w:pPr>
        <w:jc w:val="left"/>
      </w:pPr>
      <w:r>
        <w:rPr>
          <w:rFonts w:hint="eastAsia" w:ascii="宋体" w:hAnsi="宋体"/>
          <w:sz w:val="24"/>
          <w:szCs w:val="24"/>
        </w:rPr>
        <w:t>4. 全校整体生师比</w:t>
      </w:r>
      <w:r>
        <w:rPr>
          <w:rFonts w:hint="eastAsia" w:ascii="宋体" w:hAnsi="宋体"/>
          <w:sz w:val="24"/>
          <w:szCs w:val="24"/>
          <w:u w:val="single"/>
        </w:rPr>
        <w:t>13.49</w:t>
      </w:r>
      <w:r>
        <w:rPr>
          <w:rFonts w:hint="eastAsia" w:ascii="宋体" w:hAnsi="宋体"/>
          <w:sz w:val="24"/>
          <w:szCs w:val="24"/>
        </w:rPr>
        <w:t>，各专业生师比参见附表2</w:t>
      </w:r>
    </w:p>
    <w:p>
      <w:pPr>
        <w:jc w:val="left"/>
      </w:pPr>
    </w:p>
    <w:p>
      <w:pPr>
        <w:jc w:val="left"/>
      </w:pPr>
      <w:r>
        <w:rPr>
          <w:rFonts w:hint="eastAsia" w:ascii="宋体" w:hAnsi="宋体"/>
          <w:sz w:val="24"/>
          <w:szCs w:val="24"/>
        </w:rPr>
        <w:t>5. 生均教学科研仪器设备值（元）</w:t>
      </w:r>
      <w:r>
        <w:rPr>
          <w:rFonts w:hint="eastAsia" w:ascii="宋体" w:hAnsi="宋体"/>
          <w:sz w:val="24"/>
          <w:szCs w:val="24"/>
          <w:u w:val="single"/>
        </w:rPr>
        <w:t>5197.18</w:t>
      </w:r>
    </w:p>
    <w:p>
      <w:pPr>
        <w:jc w:val="left"/>
      </w:pPr>
    </w:p>
    <w:p>
      <w:pPr>
        <w:jc w:val="left"/>
      </w:pPr>
      <w:r>
        <w:rPr>
          <w:rFonts w:hint="eastAsia" w:ascii="宋体" w:hAnsi="宋体"/>
          <w:sz w:val="24"/>
          <w:szCs w:val="24"/>
        </w:rPr>
        <w:t>6. 当年新增教学科研仪器设备值（万元）</w:t>
      </w:r>
      <w:r>
        <w:rPr>
          <w:rFonts w:hint="eastAsia" w:ascii="宋体" w:hAnsi="宋体"/>
          <w:sz w:val="24"/>
          <w:szCs w:val="24"/>
          <w:u w:val="single"/>
        </w:rPr>
        <w:t>761.57</w:t>
      </w:r>
    </w:p>
    <w:p>
      <w:pPr>
        <w:jc w:val="left"/>
      </w:pPr>
    </w:p>
    <w:p>
      <w:pPr>
        <w:jc w:val="left"/>
        <w:rPr>
          <w:rFonts w:ascii="宋体" w:hAnsi="宋体"/>
          <w:sz w:val="24"/>
          <w:szCs w:val="24"/>
          <w:u w:val="single"/>
        </w:rPr>
      </w:pPr>
      <w:r>
        <w:rPr>
          <w:rFonts w:hint="eastAsia" w:ascii="宋体" w:hAnsi="宋体"/>
          <w:sz w:val="24"/>
          <w:szCs w:val="24"/>
        </w:rPr>
        <w:t>7. 生均图书（册）</w:t>
      </w:r>
      <w:r>
        <w:rPr>
          <w:rFonts w:hint="eastAsia" w:ascii="宋体" w:hAnsi="宋体"/>
          <w:sz w:val="24"/>
          <w:szCs w:val="24"/>
          <w:u w:val="single"/>
        </w:rPr>
        <w:t>80.11</w:t>
      </w:r>
    </w:p>
    <w:p>
      <w:pPr>
        <w:jc w:val="left"/>
      </w:pPr>
    </w:p>
    <w:p>
      <w:pPr>
        <w:jc w:val="left"/>
        <w:rPr>
          <w:rFonts w:ascii="宋体" w:hAnsi="宋体"/>
          <w:sz w:val="24"/>
          <w:szCs w:val="24"/>
          <w:u w:val="single"/>
        </w:rPr>
      </w:pPr>
      <w:r>
        <w:rPr>
          <w:rFonts w:hint="eastAsia" w:ascii="宋体" w:hAnsi="宋体"/>
          <w:sz w:val="24"/>
          <w:szCs w:val="24"/>
        </w:rPr>
        <w:t>8. 电子图书（册）</w:t>
      </w:r>
      <w:r>
        <w:rPr>
          <w:rFonts w:hint="eastAsia" w:ascii="宋体" w:hAnsi="宋体"/>
          <w:sz w:val="24"/>
          <w:szCs w:val="24"/>
          <w:u w:val="single"/>
        </w:rPr>
        <w:t>90000</w:t>
      </w:r>
    </w:p>
    <w:p>
      <w:pPr>
        <w:jc w:val="left"/>
      </w:pPr>
    </w:p>
    <w:p>
      <w:pPr>
        <w:jc w:val="left"/>
      </w:pPr>
      <w:r>
        <w:rPr>
          <w:rFonts w:hint="eastAsia" w:ascii="宋体" w:hAnsi="宋体"/>
          <w:sz w:val="24"/>
          <w:szCs w:val="24"/>
        </w:rPr>
        <w:t>9. 生均教学行政用房（平方米）</w:t>
      </w:r>
      <w:r>
        <w:rPr>
          <w:rFonts w:hint="eastAsia" w:ascii="宋体" w:hAnsi="宋体"/>
          <w:sz w:val="24"/>
          <w:szCs w:val="24"/>
          <w:u w:val="single"/>
        </w:rPr>
        <w:t>20.44</w:t>
      </w:r>
      <w:r>
        <w:rPr>
          <w:rFonts w:hint="eastAsia" w:ascii="宋体" w:hAnsi="宋体"/>
          <w:sz w:val="24"/>
          <w:szCs w:val="24"/>
        </w:rPr>
        <w:t>，生均实验室面积（平方米）</w:t>
      </w:r>
      <w:r>
        <w:rPr>
          <w:rFonts w:hint="eastAsia" w:ascii="宋体" w:hAnsi="宋体"/>
          <w:sz w:val="24"/>
          <w:szCs w:val="24"/>
          <w:u w:val="single"/>
        </w:rPr>
        <w:t>4.84</w:t>
      </w:r>
    </w:p>
    <w:p>
      <w:pPr>
        <w:jc w:val="left"/>
      </w:pPr>
    </w:p>
    <w:p>
      <w:pPr>
        <w:jc w:val="left"/>
      </w:pPr>
      <w:r>
        <w:rPr>
          <w:rFonts w:hint="eastAsia" w:ascii="宋体" w:hAnsi="宋体"/>
          <w:sz w:val="24"/>
          <w:szCs w:val="24"/>
        </w:rPr>
        <w:t>10. 生均本科教学日常运行支出（元）</w:t>
      </w:r>
      <w:r>
        <w:rPr>
          <w:rFonts w:hint="eastAsia" w:ascii="宋体" w:hAnsi="宋体"/>
          <w:sz w:val="24"/>
          <w:szCs w:val="24"/>
          <w:u w:val="single"/>
        </w:rPr>
        <w:t>1399.04</w:t>
      </w:r>
    </w:p>
    <w:p>
      <w:pPr>
        <w:jc w:val="left"/>
      </w:pPr>
    </w:p>
    <w:p>
      <w:pPr>
        <w:jc w:val="left"/>
      </w:pPr>
      <w:r>
        <w:rPr>
          <w:rFonts w:hint="eastAsia" w:ascii="宋体" w:hAnsi="宋体"/>
          <w:sz w:val="24"/>
          <w:szCs w:val="24"/>
        </w:rPr>
        <w:t>11. 本科专项教学经费（自然年度内学校立项用于本科教学改革和建设的专项经费总额）（万元）</w:t>
      </w:r>
      <w:r>
        <w:rPr>
          <w:rFonts w:hint="eastAsia" w:ascii="宋体" w:hAnsi="宋体"/>
          <w:sz w:val="24"/>
          <w:szCs w:val="24"/>
          <w:u w:val="single"/>
        </w:rPr>
        <w:t>283.29</w:t>
      </w:r>
    </w:p>
    <w:p>
      <w:pPr>
        <w:jc w:val="left"/>
      </w:pPr>
    </w:p>
    <w:p>
      <w:pPr>
        <w:jc w:val="left"/>
        <w:rPr>
          <w:rFonts w:ascii="宋体" w:hAnsi="宋体"/>
          <w:sz w:val="24"/>
          <w:szCs w:val="24"/>
          <w:u w:val="single"/>
        </w:rPr>
      </w:pPr>
      <w:r>
        <w:rPr>
          <w:rFonts w:hint="eastAsia" w:ascii="宋体" w:hAnsi="宋体"/>
          <w:sz w:val="24"/>
          <w:szCs w:val="24"/>
        </w:rPr>
        <w:t>12. 生均本科实验经费（自然年度内学校用于实验教学运行、维护经费生均值）（元）</w:t>
      </w:r>
      <w:r>
        <w:rPr>
          <w:rFonts w:hint="eastAsia" w:ascii="宋体" w:hAnsi="宋体"/>
          <w:sz w:val="24"/>
          <w:szCs w:val="24"/>
          <w:u w:val="single"/>
        </w:rPr>
        <w:t>181.86</w:t>
      </w:r>
    </w:p>
    <w:p>
      <w:pPr>
        <w:jc w:val="left"/>
      </w:pPr>
    </w:p>
    <w:p>
      <w:pPr>
        <w:jc w:val="left"/>
      </w:pPr>
      <w:r>
        <w:rPr>
          <w:rFonts w:hint="eastAsia" w:ascii="宋体" w:hAnsi="宋体"/>
          <w:sz w:val="24"/>
          <w:szCs w:val="24"/>
        </w:rPr>
        <w:t>13. 生均本科实习经费（自然年度内用于本科培养方案内的实习环节支出经费生均值）（元）</w:t>
      </w:r>
      <w:r>
        <w:rPr>
          <w:rFonts w:hint="eastAsia" w:ascii="宋体" w:hAnsi="宋体"/>
          <w:sz w:val="24"/>
          <w:szCs w:val="24"/>
          <w:u w:val="single"/>
        </w:rPr>
        <w:t>36.53</w:t>
      </w:r>
    </w:p>
    <w:p>
      <w:pPr>
        <w:jc w:val="left"/>
      </w:pPr>
    </w:p>
    <w:p>
      <w:pPr>
        <w:jc w:val="left"/>
        <w:rPr>
          <w:rFonts w:ascii="宋体" w:hAnsi="宋体"/>
          <w:sz w:val="24"/>
          <w:szCs w:val="24"/>
          <w:u w:val="single"/>
        </w:rPr>
      </w:pPr>
      <w:r>
        <w:rPr>
          <w:rFonts w:hint="eastAsia" w:ascii="宋体" w:hAnsi="宋体"/>
          <w:sz w:val="24"/>
          <w:szCs w:val="24"/>
        </w:rPr>
        <w:t>14. 全校开设课程总门数</w:t>
      </w:r>
      <w:r>
        <w:rPr>
          <w:rFonts w:hint="eastAsia" w:ascii="宋体" w:hAnsi="宋体"/>
          <w:sz w:val="24"/>
          <w:szCs w:val="24"/>
          <w:u w:val="single"/>
        </w:rPr>
        <w:t>474.0</w:t>
      </w:r>
    </w:p>
    <w:p>
      <w:pPr>
        <w:jc w:val="left"/>
      </w:pPr>
    </w:p>
    <w:p>
      <w:pPr>
        <w:jc w:val="left"/>
      </w:pPr>
      <w:r>
        <w:rPr>
          <w:rFonts w:hint="eastAsia" w:ascii="宋体" w:hAnsi="宋体"/>
          <w:sz w:val="24"/>
          <w:szCs w:val="24"/>
        </w:rPr>
        <w:t>注：学年度内实际开设的本科培养计划内课程总数，跨学期讲授的同一门课程计1门</w:t>
      </w:r>
    </w:p>
    <w:p>
      <w:pPr>
        <w:jc w:val="left"/>
      </w:pPr>
    </w:p>
    <w:p>
      <w:pPr>
        <w:jc w:val="left"/>
      </w:pPr>
      <w:r>
        <w:rPr>
          <w:rFonts w:hint="eastAsia" w:ascii="宋体" w:hAnsi="宋体"/>
          <w:sz w:val="24"/>
          <w:szCs w:val="24"/>
        </w:rPr>
        <w:t>15. 实践教学学分占总学分比例（按学科门类、专业）（按学科门类统计参见表6）</w:t>
      </w:r>
    </w:p>
    <w:p>
      <w:pPr>
        <w:jc w:val="center"/>
      </w:pPr>
      <w:r>
        <w:rPr>
          <w:rFonts w:hint="eastAsia" w:ascii="宋体" w:hAnsi="宋体"/>
          <w:sz w:val="24"/>
          <w:szCs w:val="24"/>
        </w:rPr>
        <w:t>附表5 各专业实践教学学分及实践场地情况</w:t>
      </w:r>
    </w:p>
    <w:tbl>
      <w:tblPr>
        <w:tblStyle w:val="22"/>
        <w:tblW w:w="89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925"/>
        <w:gridCol w:w="787"/>
        <w:gridCol w:w="750"/>
        <w:gridCol w:w="813"/>
        <w:gridCol w:w="887"/>
        <w:gridCol w:w="879"/>
        <w:gridCol w:w="705"/>
        <w:gridCol w:w="1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217" w:type="dxa"/>
            <w:vMerge w:val="restart"/>
            <w:vAlign w:val="center"/>
          </w:tcPr>
          <w:p>
            <w:pPr>
              <w:jc w:val="center"/>
            </w:pPr>
            <w:r>
              <w:rPr>
                <w:rFonts w:hint="eastAsia" w:ascii="宋体" w:hAnsi="宋体"/>
                <w:szCs w:val="21"/>
              </w:rPr>
              <w:t>专业代码</w:t>
            </w:r>
          </w:p>
        </w:tc>
        <w:tc>
          <w:tcPr>
            <w:tcW w:w="1925" w:type="dxa"/>
            <w:vMerge w:val="restart"/>
            <w:vAlign w:val="center"/>
          </w:tcPr>
          <w:p>
            <w:pPr>
              <w:jc w:val="center"/>
            </w:pPr>
            <w:r>
              <w:rPr>
                <w:rFonts w:hint="eastAsia" w:ascii="宋体" w:hAnsi="宋体"/>
                <w:szCs w:val="21"/>
              </w:rPr>
              <w:t>专业名称</w:t>
            </w:r>
          </w:p>
        </w:tc>
        <w:tc>
          <w:tcPr>
            <w:tcW w:w="3237" w:type="dxa"/>
            <w:gridSpan w:val="4"/>
            <w:vAlign w:val="center"/>
          </w:tcPr>
          <w:p>
            <w:pPr>
              <w:jc w:val="center"/>
            </w:pPr>
            <w:r>
              <w:rPr>
                <w:rFonts w:hint="eastAsia" w:ascii="宋体" w:hAnsi="宋体"/>
                <w:szCs w:val="21"/>
              </w:rPr>
              <w:t>实践学分</w:t>
            </w:r>
          </w:p>
        </w:tc>
        <w:tc>
          <w:tcPr>
            <w:tcW w:w="2590" w:type="dxa"/>
            <w:gridSpan w:val="3"/>
            <w:vAlign w:val="center"/>
          </w:tcPr>
          <w:p>
            <w:pPr>
              <w:jc w:val="center"/>
            </w:pPr>
            <w:r>
              <w:rPr>
                <w:rFonts w:hint="eastAsia" w:ascii="宋体" w:hAnsi="宋体"/>
                <w:szCs w:val="21"/>
              </w:rPr>
              <w:t>实践场地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217" w:type="dxa"/>
            <w:vMerge w:val="continue"/>
            <w:vAlign w:val="center"/>
          </w:tcPr>
          <w:p>
            <w:pPr>
              <w:jc w:val="center"/>
            </w:pPr>
          </w:p>
        </w:tc>
        <w:tc>
          <w:tcPr>
            <w:tcW w:w="1925" w:type="dxa"/>
            <w:vMerge w:val="continue"/>
            <w:vAlign w:val="center"/>
          </w:tcPr>
          <w:p>
            <w:pPr>
              <w:jc w:val="center"/>
            </w:pPr>
          </w:p>
        </w:tc>
        <w:tc>
          <w:tcPr>
            <w:tcW w:w="787" w:type="dxa"/>
            <w:vMerge w:val="restart"/>
            <w:vAlign w:val="center"/>
          </w:tcPr>
          <w:p>
            <w:pPr>
              <w:jc w:val="center"/>
            </w:pPr>
            <w:r>
              <w:rPr>
                <w:rFonts w:hint="eastAsia" w:ascii="宋体" w:hAnsi="宋体"/>
                <w:szCs w:val="21"/>
              </w:rPr>
              <w:t>集中性实践环节</w:t>
            </w:r>
          </w:p>
        </w:tc>
        <w:tc>
          <w:tcPr>
            <w:tcW w:w="750" w:type="dxa"/>
            <w:vMerge w:val="restart"/>
            <w:vAlign w:val="center"/>
          </w:tcPr>
          <w:p>
            <w:pPr>
              <w:jc w:val="center"/>
            </w:pPr>
            <w:r>
              <w:rPr>
                <w:rFonts w:hint="eastAsia" w:ascii="宋体" w:hAnsi="宋体"/>
                <w:szCs w:val="21"/>
              </w:rPr>
              <w:t>实验教学</w:t>
            </w:r>
          </w:p>
        </w:tc>
        <w:tc>
          <w:tcPr>
            <w:tcW w:w="813" w:type="dxa"/>
            <w:vMerge w:val="restart"/>
            <w:vAlign w:val="center"/>
          </w:tcPr>
          <w:p>
            <w:pPr>
              <w:jc w:val="center"/>
            </w:pPr>
            <w:r>
              <w:rPr>
                <w:rFonts w:hint="eastAsia" w:ascii="宋体" w:hAnsi="宋体"/>
                <w:szCs w:val="21"/>
              </w:rPr>
              <w:t>课外科技活动</w:t>
            </w:r>
          </w:p>
        </w:tc>
        <w:tc>
          <w:tcPr>
            <w:tcW w:w="887" w:type="dxa"/>
            <w:vMerge w:val="restart"/>
            <w:vAlign w:val="center"/>
          </w:tcPr>
          <w:p>
            <w:pPr>
              <w:jc w:val="center"/>
            </w:pPr>
            <w:r>
              <w:rPr>
                <w:rFonts w:hint="eastAsia" w:ascii="宋体" w:hAnsi="宋体"/>
                <w:szCs w:val="21"/>
              </w:rPr>
              <w:t>实践环节占比</w:t>
            </w:r>
          </w:p>
        </w:tc>
        <w:tc>
          <w:tcPr>
            <w:tcW w:w="879" w:type="dxa"/>
            <w:vMerge w:val="restart"/>
            <w:vAlign w:val="center"/>
          </w:tcPr>
          <w:p>
            <w:pPr>
              <w:jc w:val="center"/>
            </w:pPr>
            <w:r>
              <w:rPr>
                <w:rFonts w:hint="eastAsia" w:ascii="宋体" w:hAnsi="宋体"/>
                <w:szCs w:val="21"/>
              </w:rPr>
              <w:t>专业实验室数量</w:t>
            </w:r>
          </w:p>
        </w:tc>
        <w:tc>
          <w:tcPr>
            <w:tcW w:w="1711" w:type="dxa"/>
            <w:gridSpan w:val="2"/>
            <w:vAlign w:val="center"/>
          </w:tcPr>
          <w:p>
            <w:pPr>
              <w:jc w:val="center"/>
            </w:pPr>
            <w:r>
              <w:rPr>
                <w:rFonts w:hint="eastAsia" w:ascii="宋体" w:hAnsi="宋体"/>
                <w:szCs w:val="21"/>
              </w:rPr>
              <w:t>实习实训基地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217" w:type="dxa"/>
            <w:vMerge w:val="continue"/>
            <w:vAlign w:val="center"/>
          </w:tcPr>
          <w:p>
            <w:pPr>
              <w:jc w:val="center"/>
            </w:pPr>
          </w:p>
        </w:tc>
        <w:tc>
          <w:tcPr>
            <w:tcW w:w="1925" w:type="dxa"/>
            <w:vMerge w:val="continue"/>
            <w:vAlign w:val="center"/>
          </w:tcPr>
          <w:p>
            <w:pPr>
              <w:jc w:val="center"/>
            </w:pPr>
          </w:p>
        </w:tc>
        <w:tc>
          <w:tcPr>
            <w:tcW w:w="787" w:type="dxa"/>
            <w:vMerge w:val="continue"/>
            <w:vAlign w:val="center"/>
          </w:tcPr>
          <w:p>
            <w:pPr>
              <w:jc w:val="center"/>
            </w:pPr>
          </w:p>
        </w:tc>
        <w:tc>
          <w:tcPr>
            <w:tcW w:w="750" w:type="dxa"/>
            <w:vMerge w:val="continue"/>
            <w:vAlign w:val="center"/>
          </w:tcPr>
          <w:p>
            <w:pPr>
              <w:jc w:val="center"/>
            </w:pPr>
          </w:p>
        </w:tc>
        <w:tc>
          <w:tcPr>
            <w:tcW w:w="813" w:type="dxa"/>
            <w:vMerge w:val="continue"/>
            <w:vAlign w:val="center"/>
          </w:tcPr>
          <w:p>
            <w:pPr>
              <w:jc w:val="center"/>
            </w:pPr>
          </w:p>
        </w:tc>
        <w:tc>
          <w:tcPr>
            <w:tcW w:w="887" w:type="dxa"/>
            <w:vMerge w:val="continue"/>
            <w:vAlign w:val="center"/>
          </w:tcPr>
          <w:p>
            <w:pPr>
              <w:jc w:val="center"/>
            </w:pPr>
          </w:p>
        </w:tc>
        <w:tc>
          <w:tcPr>
            <w:tcW w:w="879" w:type="dxa"/>
            <w:vMerge w:val="continue"/>
            <w:vAlign w:val="center"/>
          </w:tcPr>
          <w:p>
            <w:pPr>
              <w:jc w:val="center"/>
            </w:pPr>
          </w:p>
        </w:tc>
        <w:tc>
          <w:tcPr>
            <w:tcW w:w="705" w:type="dxa"/>
            <w:vAlign w:val="center"/>
          </w:tcPr>
          <w:p>
            <w:pPr>
              <w:jc w:val="center"/>
            </w:pPr>
            <w:r>
              <w:rPr>
                <w:rFonts w:hint="eastAsia" w:ascii="宋体" w:hAnsi="宋体"/>
                <w:szCs w:val="21"/>
              </w:rPr>
              <w:t>数量</w:t>
            </w:r>
          </w:p>
        </w:tc>
        <w:tc>
          <w:tcPr>
            <w:tcW w:w="1006" w:type="dxa"/>
            <w:vAlign w:val="center"/>
          </w:tcPr>
          <w:p>
            <w:pPr>
              <w:jc w:val="center"/>
            </w:pPr>
            <w:r>
              <w:rPr>
                <w:rFonts w:hint="eastAsia" w:ascii="宋体" w:hAnsi="宋体"/>
                <w:szCs w:val="21"/>
              </w:rPr>
              <w:t>当年接收学生数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082601</w:t>
            </w:r>
          </w:p>
        </w:tc>
        <w:tc>
          <w:tcPr>
            <w:tcW w:w="1925" w:type="dxa"/>
            <w:vAlign w:val="center"/>
          </w:tcPr>
          <w:p>
            <w:pPr>
              <w:jc w:val="center"/>
            </w:pPr>
            <w:r>
              <w:t>生物医学工程</w:t>
            </w:r>
          </w:p>
        </w:tc>
        <w:tc>
          <w:tcPr>
            <w:tcW w:w="787" w:type="dxa"/>
            <w:vAlign w:val="center"/>
          </w:tcPr>
          <w:p>
            <w:pPr>
              <w:jc w:val="center"/>
            </w:pPr>
            <w:r>
              <w:t>31.0</w:t>
            </w:r>
          </w:p>
        </w:tc>
        <w:tc>
          <w:tcPr>
            <w:tcW w:w="750" w:type="dxa"/>
            <w:vAlign w:val="center"/>
          </w:tcPr>
          <w:p>
            <w:pPr>
              <w:jc w:val="center"/>
            </w:pPr>
            <w:r>
              <w:t>36.0</w:t>
            </w:r>
          </w:p>
        </w:tc>
        <w:tc>
          <w:tcPr>
            <w:tcW w:w="813" w:type="dxa"/>
            <w:vAlign w:val="center"/>
          </w:tcPr>
          <w:p>
            <w:pPr>
              <w:jc w:val="center"/>
            </w:pPr>
            <w:r>
              <w:t>4.0</w:t>
            </w:r>
          </w:p>
        </w:tc>
        <w:tc>
          <w:tcPr>
            <w:tcW w:w="887" w:type="dxa"/>
            <w:vAlign w:val="center"/>
          </w:tcPr>
          <w:p>
            <w:pPr>
              <w:jc w:val="center"/>
            </w:pPr>
            <w:r>
              <w:t>37.02</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083002T</w:t>
            </w:r>
          </w:p>
        </w:tc>
        <w:tc>
          <w:tcPr>
            <w:tcW w:w="1925" w:type="dxa"/>
            <w:vAlign w:val="center"/>
          </w:tcPr>
          <w:p>
            <w:pPr>
              <w:jc w:val="center"/>
            </w:pPr>
            <w:r>
              <w:t>生物制药</w:t>
            </w:r>
          </w:p>
        </w:tc>
        <w:tc>
          <w:tcPr>
            <w:tcW w:w="787" w:type="dxa"/>
            <w:vAlign w:val="center"/>
          </w:tcPr>
          <w:p>
            <w:pPr>
              <w:jc w:val="center"/>
            </w:pPr>
            <w:r>
              <w:t>30.0</w:t>
            </w:r>
          </w:p>
        </w:tc>
        <w:tc>
          <w:tcPr>
            <w:tcW w:w="750" w:type="dxa"/>
            <w:vAlign w:val="center"/>
          </w:tcPr>
          <w:p>
            <w:pPr>
              <w:jc w:val="center"/>
            </w:pPr>
            <w:r>
              <w:t>41.0</w:t>
            </w:r>
          </w:p>
        </w:tc>
        <w:tc>
          <w:tcPr>
            <w:tcW w:w="813" w:type="dxa"/>
            <w:vAlign w:val="center"/>
          </w:tcPr>
          <w:p>
            <w:pPr>
              <w:jc w:val="center"/>
            </w:pPr>
            <w:r>
              <w:t>4.0</w:t>
            </w:r>
          </w:p>
        </w:tc>
        <w:tc>
          <w:tcPr>
            <w:tcW w:w="887" w:type="dxa"/>
            <w:vAlign w:val="center"/>
          </w:tcPr>
          <w:p>
            <w:pPr>
              <w:jc w:val="center"/>
            </w:pPr>
            <w:r>
              <w:t>38.9</w:t>
            </w:r>
          </w:p>
        </w:tc>
        <w:tc>
          <w:tcPr>
            <w:tcW w:w="879" w:type="dxa"/>
            <w:vAlign w:val="center"/>
          </w:tcPr>
          <w:p>
            <w:pPr>
              <w:jc w:val="center"/>
            </w:pPr>
            <w:r>
              <w:rPr>
                <w:rFonts w:hint="eastAsia"/>
              </w:rPr>
              <w:t>1</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100201K</w:t>
            </w:r>
          </w:p>
        </w:tc>
        <w:tc>
          <w:tcPr>
            <w:tcW w:w="1925" w:type="dxa"/>
            <w:vAlign w:val="center"/>
          </w:tcPr>
          <w:p>
            <w:pPr>
              <w:jc w:val="center"/>
            </w:pPr>
            <w:r>
              <w:t>临床医学</w:t>
            </w:r>
          </w:p>
        </w:tc>
        <w:tc>
          <w:tcPr>
            <w:tcW w:w="787" w:type="dxa"/>
            <w:vAlign w:val="center"/>
          </w:tcPr>
          <w:p>
            <w:pPr>
              <w:jc w:val="center"/>
            </w:pPr>
            <w:r>
              <w:t>65.0</w:t>
            </w:r>
          </w:p>
        </w:tc>
        <w:tc>
          <w:tcPr>
            <w:tcW w:w="750" w:type="dxa"/>
            <w:vAlign w:val="center"/>
          </w:tcPr>
          <w:p>
            <w:pPr>
              <w:jc w:val="center"/>
            </w:pPr>
            <w:r>
              <w:t>56.0</w:t>
            </w:r>
          </w:p>
        </w:tc>
        <w:tc>
          <w:tcPr>
            <w:tcW w:w="813" w:type="dxa"/>
            <w:vAlign w:val="center"/>
          </w:tcPr>
          <w:p>
            <w:pPr>
              <w:jc w:val="center"/>
            </w:pPr>
            <w:r>
              <w:t>4.0</w:t>
            </w:r>
          </w:p>
        </w:tc>
        <w:tc>
          <w:tcPr>
            <w:tcW w:w="887" w:type="dxa"/>
            <w:vAlign w:val="center"/>
          </w:tcPr>
          <w:p>
            <w:pPr>
              <w:jc w:val="center"/>
            </w:pPr>
            <w:r>
              <w:t>44.24</w:t>
            </w:r>
          </w:p>
        </w:tc>
        <w:tc>
          <w:tcPr>
            <w:tcW w:w="879" w:type="dxa"/>
            <w:vAlign w:val="center"/>
          </w:tcPr>
          <w:p>
            <w:pPr>
              <w:jc w:val="center"/>
            </w:pPr>
            <w:r>
              <w:rPr>
                <w:rFonts w:hint="eastAsia"/>
              </w:rPr>
              <w:t>18</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100401K</w:t>
            </w:r>
          </w:p>
        </w:tc>
        <w:tc>
          <w:tcPr>
            <w:tcW w:w="1925" w:type="dxa"/>
            <w:vAlign w:val="center"/>
          </w:tcPr>
          <w:p>
            <w:pPr>
              <w:jc w:val="center"/>
            </w:pPr>
            <w:r>
              <w:t>预防医学</w:t>
            </w:r>
          </w:p>
        </w:tc>
        <w:tc>
          <w:tcPr>
            <w:tcW w:w="787" w:type="dxa"/>
            <w:vAlign w:val="center"/>
          </w:tcPr>
          <w:p>
            <w:pPr>
              <w:jc w:val="center"/>
            </w:pPr>
            <w:r>
              <w:t>60.0</w:t>
            </w:r>
          </w:p>
        </w:tc>
        <w:tc>
          <w:tcPr>
            <w:tcW w:w="750" w:type="dxa"/>
            <w:vAlign w:val="center"/>
          </w:tcPr>
          <w:p>
            <w:pPr>
              <w:jc w:val="center"/>
            </w:pPr>
            <w:r>
              <w:t>44.0</w:t>
            </w:r>
          </w:p>
        </w:tc>
        <w:tc>
          <w:tcPr>
            <w:tcW w:w="813" w:type="dxa"/>
            <w:vAlign w:val="center"/>
          </w:tcPr>
          <w:p>
            <w:pPr>
              <w:jc w:val="center"/>
            </w:pPr>
            <w:r>
              <w:t>4.0</w:t>
            </w:r>
          </w:p>
        </w:tc>
        <w:tc>
          <w:tcPr>
            <w:tcW w:w="887" w:type="dxa"/>
            <w:vAlign w:val="center"/>
          </w:tcPr>
          <w:p>
            <w:pPr>
              <w:jc w:val="center"/>
            </w:pPr>
            <w:r>
              <w:t>40.23</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100701</w:t>
            </w:r>
          </w:p>
        </w:tc>
        <w:tc>
          <w:tcPr>
            <w:tcW w:w="1925" w:type="dxa"/>
            <w:vAlign w:val="center"/>
          </w:tcPr>
          <w:p>
            <w:pPr>
              <w:jc w:val="center"/>
            </w:pPr>
            <w:r>
              <w:t>药学</w:t>
            </w:r>
          </w:p>
        </w:tc>
        <w:tc>
          <w:tcPr>
            <w:tcW w:w="787" w:type="dxa"/>
            <w:vAlign w:val="center"/>
          </w:tcPr>
          <w:p>
            <w:pPr>
              <w:jc w:val="center"/>
            </w:pPr>
            <w:r>
              <w:t>27.0</w:t>
            </w:r>
          </w:p>
        </w:tc>
        <w:tc>
          <w:tcPr>
            <w:tcW w:w="750" w:type="dxa"/>
            <w:vAlign w:val="center"/>
          </w:tcPr>
          <w:p>
            <w:pPr>
              <w:jc w:val="center"/>
            </w:pPr>
            <w:r>
              <w:t>41.0</w:t>
            </w:r>
          </w:p>
        </w:tc>
        <w:tc>
          <w:tcPr>
            <w:tcW w:w="813" w:type="dxa"/>
            <w:vAlign w:val="center"/>
          </w:tcPr>
          <w:p>
            <w:pPr>
              <w:jc w:val="center"/>
            </w:pPr>
            <w:r>
              <w:t>4.0</w:t>
            </w:r>
          </w:p>
        </w:tc>
        <w:tc>
          <w:tcPr>
            <w:tcW w:w="887" w:type="dxa"/>
            <w:vAlign w:val="center"/>
          </w:tcPr>
          <w:p>
            <w:pPr>
              <w:jc w:val="center"/>
            </w:pPr>
            <w:r>
              <w:t>38.86</w:t>
            </w:r>
          </w:p>
        </w:tc>
        <w:tc>
          <w:tcPr>
            <w:tcW w:w="879" w:type="dxa"/>
            <w:vAlign w:val="center"/>
          </w:tcPr>
          <w:p>
            <w:pPr>
              <w:jc w:val="center"/>
            </w:pPr>
            <w:r>
              <w:rPr>
                <w:rFonts w:hint="eastAsia"/>
              </w:rPr>
              <w:t>8</w:t>
            </w:r>
          </w:p>
        </w:tc>
        <w:tc>
          <w:tcPr>
            <w:tcW w:w="705" w:type="dxa"/>
            <w:vAlign w:val="center"/>
          </w:tcPr>
          <w:p>
            <w:pPr>
              <w:widowControl/>
              <w:jc w:val="center"/>
              <w:textAlignment w:val="center"/>
            </w:pPr>
            <w:r>
              <w:rPr>
                <w:color w:val="000000"/>
                <w:kern w:val="0"/>
                <w:sz w:val="20"/>
                <w:szCs w:val="20"/>
                <w:lang w:bidi="ar"/>
              </w:rPr>
              <w:t>66</w:t>
            </w:r>
          </w:p>
        </w:tc>
        <w:tc>
          <w:tcPr>
            <w:tcW w:w="1006" w:type="dxa"/>
            <w:vAlign w:val="center"/>
          </w:tcPr>
          <w:p>
            <w:pPr>
              <w:widowControl/>
              <w:jc w:val="center"/>
              <w:textAlignment w:val="center"/>
            </w:pPr>
            <w:r>
              <w:rPr>
                <w:color w:val="000000"/>
                <w:kern w:val="0"/>
                <w:sz w:val="20"/>
                <w:szCs w:val="20"/>
                <w:lang w:bidi="ar"/>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101001</w:t>
            </w:r>
          </w:p>
        </w:tc>
        <w:tc>
          <w:tcPr>
            <w:tcW w:w="1925" w:type="dxa"/>
            <w:vAlign w:val="center"/>
          </w:tcPr>
          <w:p>
            <w:pPr>
              <w:jc w:val="center"/>
            </w:pPr>
            <w:r>
              <w:t>医学检验技术</w:t>
            </w:r>
          </w:p>
        </w:tc>
        <w:tc>
          <w:tcPr>
            <w:tcW w:w="787" w:type="dxa"/>
            <w:vAlign w:val="center"/>
          </w:tcPr>
          <w:p>
            <w:pPr>
              <w:jc w:val="center"/>
            </w:pPr>
            <w:r>
              <w:t>57.0</w:t>
            </w:r>
          </w:p>
        </w:tc>
        <w:tc>
          <w:tcPr>
            <w:tcW w:w="750" w:type="dxa"/>
            <w:vAlign w:val="center"/>
          </w:tcPr>
          <w:p>
            <w:pPr>
              <w:jc w:val="center"/>
            </w:pPr>
            <w:r>
              <w:t>47.0</w:t>
            </w:r>
          </w:p>
        </w:tc>
        <w:tc>
          <w:tcPr>
            <w:tcW w:w="813" w:type="dxa"/>
            <w:vAlign w:val="center"/>
          </w:tcPr>
          <w:p>
            <w:pPr>
              <w:jc w:val="center"/>
            </w:pPr>
            <w:r>
              <w:t>4.0</w:t>
            </w:r>
          </w:p>
        </w:tc>
        <w:tc>
          <w:tcPr>
            <w:tcW w:w="887" w:type="dxa"/>
            <w:vAlign w:val="center"/>
          </w:tcPr>
          <w:p>
            <w:pPr>
              <w:jc w:val="center"/>
            </w:pPr>
            <w:r>
              <w:t>51.11</w:t>
            </w:r>
          </w:p>
        </w:tc>
        <w:tc>
          <w:tcPr>
            <w:tcW w:w="879" w:type="dxa"/>
            <w:vAlign w:val="center"/>
          </w:tcPr>
          <w:p>
            <w:pPr>
              <w:jc w:val="center"/>
            </w:pPr>
            <w:r>
              <w:rPr>
                <w:rFonts w:hint="eastAsia"/>
              </w:rPr>
              <w:t>6</w:t>
            </w:r>
          </w:p>
        </w:tc>
        <w:tc>
          <w:tcPr>
            <w:tcW w:w="705" w:type="dxa"/>
            <w:vAlign w:val="center"/>
          </w:tcPr>
          <w:p>
            <w:pPr>
              <w:widowControl/>
              <w:jc w:val="center"/>
              <w:textAlignment w:val="center"/>
            </w:pPr>
            <w:r>
              <w:rPr>
                <w:color w:val="000000"/>
                <w:kern w:val="0"/>
                <w:sz w:val="20"/>
                <w:szCs w:val="20"/>
                <w:lang w:bidi="ar"/>
              </w:rPr>
              <w:t>67</w:t>
            </w:r>
          </w:p>
        </w:tc>
        <w:tc>
          <w:tcPr>
            <w:tcW w:w="1006" w:type="dxa"/>
            <w:vAlign w:val="center"/>
          </w:tcPr>
          <w:p>
            <w:pPr>
              <w:widowControl/>
              <w:jc w:val="center"/>
              <w:textAlignment w:val="center"/>
            </w:pPr>
            <w:r>
              <w:rPr>
                <w:color w:val="000000"/>
                <w:kern w:val="0"/>
                <w:sz w:val="20"/>
                <w:szCs w:val="20"/>
                <w:lang w:bidi="ar"/>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101003</w:t>
            </w:r>
          </w:p>
        </w:tc>
        <w:tc>
          <w:tcPr>
            <w:tcW w:w="1925" w:type="dxa"/>
            <w:vAlign w:val="center"/>
          </w:tcPr>
          <w:p>
            <w:pPr>
              <w:jc w:val="center"/>
            </w:pPr>
            <w:r>
              <w:t>医学影像技术</w:t>
            </w:r>
          </w:p>
        </w:tc>
        <w:tc>
          <w:tcPr>
            <w:tcW w:w="787" w:type="dxa"/>
            <w:vAlign w:val="center"/>
          </w:tcPr>
          <w:p>
            <w:pPr>
              <w:jc w:val="center"/>
            </w:pPr>
            <w:r>
              <w:t>56.0</w:t>
            </w:r>
          </w:p>
        </w:tc>
        <w:tc>
          <w:tcPr>
            <w:tcW w:w="750" w:type="dxa"/>
            <w:vAlign w:val="center"/>
          </w:tcPr>
          <w:p>
            <w:pPr>
              <w:jc w:val="center"/>
            </w:pPr>
            <w:r>
              <w:t>33.0</w:t>
            </w:r>
          </w:p>
        </w:tc>
        <w:tc>
          <w:tcPr>
            <w:tcW w:w="813" w:type="dxa"/>
            <w:vAlign w:val="center"/>
          </w:tcPr>
          <w:p>
            <w:pPr>
              <w:jc w:val="center"/>
            </w:pPr>
            <w:r>
              <w:t>4.0</w:t>
            </w:r>
          </w:p>
        </w:tc>
        <w:tc>
          <w:tcPr>
            <w:tcW w:w="887" w:type="dxa"/>
            <w:vAlign w:val="center"/>
          </w:tcPr>
          <w:p>
            <w:pPr>
              <w:jc w:val="center"/>
            </w:pPr>
            <w:r>
              <w:t>42.69</w:t>
            </w:r>
          </w:p>
        </w:tc>
        <w:tc>
          <w:tcPr>
            <w:tcW w:w="879" w:type="dxa"/>
            <w:vAlign w:val="center"/>
          </w:tcPr>
          <w:p>
            <w:pPr>
              <w:jc w:val="center"/>
            </w:pPr>
            <w:r>
              <w:rPr>
                <w:rFonts w:hint="eastAsia"/>
              </w:rPr>
              <w:t>7</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101004</w:t>
            </w:r>
          </w:p>
        </w:tc>
        <w:tc>
          <w:tcPr>
            <w:tcW w:w="1925" w:type="dxa"/>
            <w:vAlign w:val="center"/>
          </w:tcPr>
          <w:p>
            <w:pPr>
              <w:jc w:val="center"/>
            </w:pPr>
            <w:r>
              <w:t>眼视光学</w:t>
            </w:r>
          </w:p>
        </w:tc>
        <w:tc>
          <w:tcPr>
            <w:tcW w:w="787" w:type="dxa"/>
            <w:vAlign w:val="center"/>
          </w:tcPr>
          <w:p>
            <w:pPr>
              <w:jc w:val="center"/>
            </w:pPr>
            <w:r>
              <w:t>57.0</w:t>
            </w:r>
          </w:p>
        </w:tc>
        <w:tc>
          <w:tcPr>
            <w:tcW w:w="750" w:type="dxa"/>
            <w:vAlign w:val="center"/>
          </w:tcPr>
          <w:p>
            <w:pPr>
              <w:jc w:val="center"/>
            </w:pPr>
            <w:r>
              <w:t>42.0</w:t>
            </w:r>
          </w:p>
        </w:tc>
        <w:tc>
          <w:tcPr>
            <w:tcW w:w="813" w:type="dxa"/>
            <w:vAlign w:val="center"/>
          </w:tcPr>
          <w:p>
            <w:pPr>
              <w:jc w:val="center"/>
            </w:pPr>
            <w:r>
              <w:t>4.0</w:t>
            </w:r>
          </w:p>
        </w:tc>
        <w:tc>
          <w:tcPr>
            <w:tcW w:w="887" w:type="dxa"/>
            <w:vAlign w:val="center"/>
          </w:tcPr>
          <w:p>
            <w:pPr>
              <w:jc w:val="center"/>
            </w:pPr>
            <w:r>
              <w:t>48.29</w:t>
            </w:r>
          </w:p>
        </w:tc>
        <w:tc>
          <w:tcPr>
            <w:tcW w:w="879" w:type="dxa"/>
            <w:vAlign w:val="center"/>
          </w:tcPr>
          <w:p>
            <w:pPr>
              <w:jc w:val="center"/>
            </w:pPr>
            <w:r>
              <w:rPr>
                <w:rFonts w:hint="eastAsia"/>
              </w:rPr>
              <w:t>3</w:t>
            </w:r>
          </w:p>
        </w:tc>
        <w:tc>
          <w:tcPr>
            <w:tcW w:w="705" w:type="dxa"/>
            <w:vAlign w:val="center"/>
          </w:tcPr>
          <w:p>
            <w:pPr>
              <w:widowControl/>
              <w:jc w:val="center"/>
              <w:textAlignment w:val="center"/>
            </w:pPr>
            <w:r>
              <w:rPr>
                <w:color w:val="000000"/>
                <w:kern w:val="0"/>
                <w:sz w:val="20"/>
                <w:szCs w:val="20"/>
                <w:lang w:bidi="ar"/>
              </w:rPr>
              <w:t>65</w:t>
            </w:r>
          </w:p>
        </w:tc>
        <w:tc>
          <w:tcPr>
            <w:tcW w:w="1006" w:type="dxa"/>
            <w:vAlign w:val="center"/>
          </w:tcPr>
          <w:p>
            <w:pPr>
              <w:widowControl/>
              <w:jc w:val="center"/>
              <w:textAlignment w:val="center"/>
            </w:pPr>
            <w:r>
              <w:rPr>
                <w:color w:val="000000"/>
                <w:kern w:val="0"/>
                <w:sz w:val="20"/>
                <w:szCs w:val="20"/>
                <w:lang w:bidi="ar"/>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101005</w:t>
            </w:r>
          </w:p>
        </w:tc>
        <w:tc>
          <w:tcPr>
            <w:tcW w:w="1925" w:type="dxa"/>
            <w:vAlign w:val="center"/>
          </w:tcPr>
          <w:p>
            <w:pPr>
              <w:jc w:val="center"/>
            </w:pPr>
            <w:r>
              <w:t>康复治疗学</w:t>
            </w:r>
          </w:p>
        </w:tc>
        <w:tc>
          <w:tcPr>
            <w:tcW w:w="787" w:type="dxa"/>
            <w:vAlign w:val="center"/>
          </w:tcPr>
          <w:p>
            <w:pPr>
              <w:jc w:val="center"/>
            </w:pPr>
            <w:r>
              <w:t>51.0</w:t>
            </w:r>
          </w:p>
        </w:tc>
        <w:tc>
          <w:tcPr>
            <w:tcW w:w="750" w:type="dxa"/>
            <w:vAlign w:val="center"/>
          </w:tcPr>
          <w:p>
            <w:pPr>
              <w:jc w:val="center"/>
            </w:pPr>
            <w:r>
              <w:t>29.0</w:t>
            </w:r>
          </w:p>
        </w:tc>
        <w:tc>
          <w:tcPr>
            <w:tcW w:w="813" w:type="dxa"/>
            <w:vAlign w:val="center"/>
          </w:tcPr>
          <w:p>
            <w:pPr>
              <w:jc w:val="center"/>
            </w:pPr>
            <w:r>
              <w:t>4.0</w:t>
            </w:r>
          </w:p>
        </w:tc>
        <w:tc>
          <w:tcPr>
            <w:tcW w:w="887" w:type="dxa"/>
            <w:vAlign w:val="center"/>
          </w:tcPr>
          <w:p>
            <w:pPr>
              <w:jc w:val="center"/>
            </w:pPr>
            <w:r>
              <w:t>39.7</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101011T</w:t>
            </w:r>
          </w:p>
        </w:tc>
        <w:tc>
          <w:tcPr>
            <w:tcW w:w="1925" w:type="dxa"/>
            <w:vAlign w:val="center"/>
          </w:tcPr>
          <w:p>
            <w:pPr>
              <w:jc w:val="center"/>
            </w:pPr>
            <w:r>
              <w:t>智能医学工程</w:t>
            </w:r>
          </w:p>
        </w:tc>
        <w:tc>
          <w:tcPr>
            <w:tcW w:w="787" w:type="dxa"/>
            <w:vAlign w:val="center"/>
          </w:tcPr>
          <w:p>
            <w:pPr>
              <w:jc w:val="center"/>
            </w:pPr>
            <w:r>
              <w:t>32.0</w:t>
            </w:r>
          </w:p>
        </w:tc>
        <w:tc>
          <w:tcPr>
            <w:tcW w:w="750" w:type="dxa"/>
            <w:vAlign w:val="center"/>
          </w:tcPr>
          <w:p>
            <w:pPr>
              <w:jc w:val="center"/>
            </w:pPr>
            <w:r>
              <w:t>40.0</w:t>
            </w:r>
          </w:p>
        </w:tc>
        <w:tc>
          <w:tcPr>
            <w:tcW w:w="813" w:type="dxa"/>
            <w:vAlign w:val="center"/>
          </w:tcPr>
          <w:p>
            <w:pPr>
              <w:jc w:val="center"/>
            </w:pPr>
            <w:r>
              <w:t>4.0</w:t>
            </w:r>
          </w:p>
        </w:tc>
        <w:tc>
          <w:tcPr>
            <w:tcW w:w="887" w:type="dxa"/>
            <w:vAlign w:val="center"/>
          </w:tcPr>
          <w:p>
            <w:pPr>
              <w:jc w:val="center"/>
            </w:pPr>
            <w:r>
              <w:t>40.22</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101012T</w:t>
            </w:r>
          </w:p>
        </w:tc>
        <w:tc>
          <w:tcPr>
            <w:tcW w:w="1925" w:type="dxa"/>
            <w:vAlign w:val="center"/>
          </w:tcPr>
          <w:p>
            <w:pPr>
              <w:jc w:val="center"/>
            </w:pPr>
            <w:r>
              <w:t>生物医药数据科学</w:t>
            </w:r>
          </w:p>
        </w:tc>
        <w:tc>
          <w:tcPr>
            <w:tcW w:w="787" w:type="dxa"/>
            <w:vAlign w:val="center"/>
          </w:tcPr>
          <w:p>
            <w:pPr>
              <w:jc w:val="center"/>
            </w:pPr>
            <w:r>
              <w:t>31.0</w:t>
            </w:r>
          </w:p>
        </w:tc>
        <w:tc>
          <w:tcPr>
            <w:tcW w:w="750" w:type="dxa"/>
            <w:vAlign w:val="center"/>
          </w:tcPr>
          <w:p>
            <w:pPr>
              <w:jc w:val="center"/>
            </w:pPr>
            <w:r>
              <w:t>40.0</w:t>
            </w:r>
          </w:p>
        </w:tc>
        <w:tc>
          <w:tcPr>
            <w:tcW w:w="813" w:type="dxa"/>
            <w:vAlign w:val="center"/>
          </w:tcPr>
          <w:p>
            <w:pPr>
              <w:jc w:val="center"/>
            </w:pPr>
            <w:r>
              <w:t>4.0</w:t>
            </w:r>
          </w:p>
        </w:tc>
        <w:tc>
          <w:tcPr>
            <w:tcW w:w="887" w:type="dxa"/>
            <w:vAlign w:val="center"/>
          </w:tcPr>
          <w:p>
            <w:pPr>
              <w:jc w:val="center"/>
            </w:pPr>
            <w:r>
              <w:t>38.17</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101101</w:t>
            </w:r>
          </w:p>
        </w:tc>
        <w:tc>
          <w:tcPr>
            <w:tcW w:w="1925" w:type="dxa"/>
            <w:vAlign w:val="center"/>
          </w:tcPr>
          <w:p>
            <w:pPr>
              <w:jc w:val="center"/>
            </w:pPr>
            <w:r>
              <w:t>护理学</w:t>
            </w:r>
          </w:p>
        </w:tc>
        <w:tc>
          <w:tcPr>
            <w:tcW w:w="787" w:type="dxa"/>
            <w:vAlign w:val="center"/>
          </w:tcPr>
          <w:p>
            <w:pPr>
              <w:jc w:val="center"/>
            </w:pPr>
            <w:r>
              <w:t>53.0</w:t>
            </w:r>
          </w:p>
        </w:tc>
        <w:tc>
          <w:tcPr>
            <w:tcW w:w="750" w:type="dxa"/>
            <w:vAlign w:val="center"/>
          </w:tcPr>
          <w:p>
            <w:pPr>
              <w:jc w:val="center"/>
            </w:pPr>
            <w:r>
              <w:t>41.0</w:t>
            </w:r>
          </w:p>
        </w:tc>
        <w:tc>
          <w:tcPr>
            <w:tcW w:w="813" w:type="dxa"/>
            <w:vAlign w:val="center"/>
          </w:tcPr>
          <w:p>
            <w:pPr>
              <w:jc w:val="center"/>
            </w:pPr>
            <w:r>
              <w:t>4.0</w:t>
            </w:r>
          </w:p>
        </w:tc>
        <w:tc>
          <w:tcPr>
            <w:tcW w:w="887" w:type="dxa"/>
            <w:vAlign w:val="center"/>
          </w:tcPr>
          <w:p>
            <w:pPr>
              <w:jc w:val="center"/>
            </w:pPr>
            <w:r>
              <w:t>47.0</w:t>
            </w:r>
          </w:p>
        </w:tc>
        <w:tc>
          <w:tcPr>
            <w:tcW w:w="879" w:type="dxa"/>
            <w:vAlign w:val="center"/>
          </w:tcPr>
          <w:p>
            <w:pPr>
              <w:jc w:val="center"/>
            </w:pPr>
            <w:r>
              <w:rPr>
                <w:rFonts w:hint="eastAsia"/>
              </w:rPr>
              <w:t>12</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101102T</w:t>
            </w:r>
          </w:p>
        </w:tc>
        <w:tc>
          <w:tcPr>
            <w:tcW w:w="1925" w:type="dxa"/>
            <w:vAlign w:val="center"/>
          </w:tcPr>
          <w:p>
            <w:pPr>
              <w:jc w:val="center"/>
            </w:pPr>
            <w:r>
              <w:t>助产学</w:t>
            </w:r>
          </w:p>
        </w:tc>
        <w:tc>
          <w:tcPr>
            <w:tcW w:w="787" w:type="dxa"/>
            <w:vAlign w:val="center"/>
          </w:tcPr>
          <w:p>
            <w:pPr>
              <w:jc w:val="center"/>
            </w:pPr>
            <w:r>
              <w:t>51.0</w:t>
            </w:r>
          </w:p>
        </w:tc>
        <w:tc>
          <w:tcPr>
            <w:tcW w:w="750" w:type="dxa"/>
            <w:vAlign w:val="center"/>
          </w:tcPr>
          <w:p>
            <w:pPr>
              <w:jc w:val="center"/>
            </w:pPr>
            <w:r>
              <w:t>37.0</w:t>
            </w:r>
          </w:p>
        </w:tc>
        <w:tc>
          <w:tcPr>
            <w:tcW w:w="813" w:type="dxa"/>
            <w:vAlign w:val="center"/>
          </w:tcPr>
          <w:p>
            <w:pPr>
              <w:jc w:val="center"/>
            </w:pPr>
            <w:r>
              <w:t>4.0</w:t>
            </w:r>
          </w:p>
        </w:tc>
        <w:tc>
          <w:tcPr>
            <w:tcW w:w="887" w:type="dxa"/>
            <w:vAlign w:val="center"/>
          </w:tcPr>
          <w:p>
            <w:pPr>
              <w:jc w:val="center"/>
            </w:pPr>
            <w:r>
              <w:t>45.01</w:t>
            </w:r>
          </w:p>
        </w:tc>
        <w:tc>
          <w:tcPr>
            <w:tcW w:w="879" w:type="dxa"/>
            <w:vAlign w:val="center"/>
          </w:tcPr>
          <w:p>
            <w:pPr>
              <w:jc w:val="center"/>
            </w:pPr>
            <w:r>
              <w:rPr>
                <w:rFonts w:hint="eastAsia"/>
              </w:rPr>
              <w:t>6</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120401</w:t>
            </w:r>
          </w:p>
        </w:tc>
        <w:tc>
          <w:tcPr>
            <w:tcW w:w="1925" w:type="dxa"/>
            <w:vAlign w:val="center"/>
          </w:tcPr>
          <w:p>
            <w:pPr>
              <w:jc w:val="center"/>
            </w:pPr>
            <w:r>
              <w:t>公共事业管理</w:t>
            </w:r>
          </w:p>
        </w:tc>
        <w:tc>
          <w:tcPr>
            <w:tcW w:w="787" w:type="dxa"/>
            <w:vAlign w:val="center"/>
          </w:tcPr>
          <w:p>
            <w:pPr>
              <w:jc w:val="center"/>
            </w:pPr>
            <w:r>
              <w:t>36.0</w:t>
            </w:r>
          </w:p>
        </w:tc>
        <w:tc>
          <w:tcPr>
            <w:tcW w:w="750" w:type="dxa"/>
            <w:vAlign w:val="center"/>
          </w:tcPr>
          <w:p>
            <w:pPr>
              <w:jc w:val="center"/>
            </w:pPr>
            <w:r>
              <w:t>30.0</w:t>
            </w:r>
          </w:p>
        </w:tc>
        <w:tc>
          <w:tcPr>
            <w:tcW w:w="813" w:type="dxa"/>
            <w:vAlign w:val="center"/>
          </w:tcPr>
          <w:p>
            <w:pPr>
              <w:jc w:val="center"/>
            </w:pPr>
            <w:r>
              <w:t>4.0</w:t>
            </w:r>
          </w:p>
        </w:tc>
        <w:tc>
          <w:tcPr>
            <w:tcW w:w="887" w:type="dxa"/>
            <w:vAlign w:val="center"/>
          </w:tcPr>
          <w:p>
            <w:pPr>
              <w:jc w:val="center"/>
            </w:pPr>
            <w:r>
              <w:t>37.29</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120410T</w:t>
            </w:r>
          </w:p>
        </w:tc>
        <w:tc>
          <w:tcPr>
            <w:tcW w:w="1925" w:type="dxa"/>
            <w:vAlign w:val="center"/>
          </w:tcPr>
          <w:p>
            <w:pPr>
              <w:jc w:val="center"/>
            </w:pPr>
            <w:r>
              <w:t>健康服务与管理</w:t>
            </w:r>
          </w:p>
        </w:tc>
        <w:tc>
          <w:tcPr>
            <w:tcW w:w="787" w:type="dxa"/>
            <w:vAlign w:val="center"/>
          </w:tcPr>
          <w:p>
            <w:pPr>
              <w:jc w:val="center"/>
            </w:pPr>
            <w:r>
              <w:t>35.0</w:t>
            </w:r>
          </w:p>
        </w:tc>
        <w:tc>
          <w:tcPr>
            <w:tcW w:w="750" w:type="dxa"/>
            <w:vAlign w:val="center"/>
          </w:tcPr>
          <w:p>
            <w:pPr>
              <w:jc w:val="center"/>
            </w:pPr>
            <w:r>
              <w:t>33.0</w:t>
            </w:r>
          </w:p>
        </w:tc>
        <w:tc>
          <w:tcPr>
            <w:tcW w:w="813" w:type="dxa"/>
            <w:vAlign w:val="center"/>
          </w:tcPr>
          <w:p>
            <w:pPr>
              <w:jc w:val="center"/>
            </w:pPr>
            <w:r>
              <w:t>4.0</w:t>
            </w:r>
          </w:p>
        </w:tc>
        <w:tc>
          <w:tcPr>
            <w:tcW w:w="887" w:type="dxa"/>
            <w:vAlign w:val="center"/>
          </w:tcPr>
          <w:p>
            <w:pPr>
              <w:jc w:val="center"/>
            </w:pPr>
            <w:r>
              <w:t>38.75</w:t>
            </w:r>
          </w:p>
        </w:tc>
        <w:tc>
          <w:tcPr>
            <w:tcW w:w="879" w:type="dxa"/>
            <w:vAlign w:val="center"/>
          </w:tcPr>
          <w:p>
            <w:pPr>
              <w:jc w:val="center"/>
            </w:pPr>
            <w:r>
              <w:rPr>
                <w:rFonts w:hint="eastAsia"/>
              </w:rPr>
              <w:t>5</w:t>
            </w:r>
          </w:p>
        </w:tc>
        <w:tc>
          <w:tcPr>
            <w:tcW w:w="705" w:type="dxa"/>
            <w:vAlign w:val="center"/>
          </w:tcPr>
          <w:p>
            <w:pPr>
              <w:widowControl/>
              <w:jc w:val="center"/>
              <w:textAlignment w:val="center"/>
            </w:pPr>
            <w:r>
              <w:rPr>
                <w:color w:val="000000"/>
                <w:kern w:val="0"/>
                <w:sz w:val="20"/>
                <w:szCs w:val="20"/>
                <w:lang w:bidi="ar"/>
              </w:rPr>
              <w:t>64</w:t>
            </w:r>
          </w:p>
        </w:tc>
        <w:tc>
          <w:tcPr>
            <w:tcW w:w="1006" w:type="dxa"/>
            <w:vAlign w:val="center"/>
          </w:tcPr>
          <w:p>
            <w:pPr>
              <w:widowControl/>
              <w:jc w:val="center"/>
              <w:textAlignment w:val="center"/>
            </w:pPr>
            <w:r>
              <w:rPr>
                <w:color w:val="000000"/>
                <w:kern w:val="0"/>
                <w:sz w:val="20"/>
                <w:szCs w:val="20"/>
                <w:lang w:bidi="ar"/>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7" w:type="dxa"/>
            <w:vAlign w:val="center"/>
          </w:tcPr>
          <w:p>
            <w:pPr>
              <w:jc w:val="center"/>
            </w:pPr>
            <w:r>
              <w:t>全校校均</w:t>
            </w:r>
          </w:p>
        </w:tc>
        <w:tc>
          <w:tcPr>
            <w:tcW w:w="1925" w:type="dxa"/>
            <w:vAlign w:val="center"/>
          </w:tcPr>
          <w:p>
            <w:pPr>
              <w:jc w:val="center"/>
            </w:pPr>
            <w:r>
              <w:t>/</w:t>
            </w:r>
          </w:p>
        </w:tc>
        <w:tc>
          <w:tcPr>
            <w:tcW w:w="787" w:type="dxa"/>
            <w:vAlign w:val="center"/>
          </w:tcPr>
          <w:p>
            <w:pPr>
              <w:jc w:val="center"/>
            </w:pPr>
            <w:r>
              <w:t>44.80</w:t>
            </w:r>
          </w:p>
        </w:tc>
        <w:tc>
          <w:tcPr>
            <w:tcW w:w="750" w:type="dxa"/>
            <w:vAlign w:val="center"/>
          </w:tcPr>
          <w:p>
            <w:pPr>
              <w:jc w:val="center"/>
            </w:pPr>
            <w:r>
              <w:t>39.33</w:t>
            </w:r>
          </w:p>
        </w:tc>
        <w:tc>
          <w:tcPr>
            <w:tcW w:w="813" w:type="dxa"/>
            <w:vAlign w:val="center"/>
          </w:tcPr>
          <w:p>
            <w:pPr>
              <w:jc w:val="center"/>
            </w:pPr>
            <w:r>
              <w:t>4.00</w:t>
            </w:r>
          </w:p>
        </w:tc>
        <w:tc>
          <w:tcPr>
            <w:tcW w:w="887" w:type="dxa"/>
            <w:vAlign w:val="center"/>
          </w:tcPr>
          <w:p>
            <w:pPr>
              <w:jc w:val="center"/>
            </w:pPr>
            <w:r>
              <w:t>42.04</w:t>
            </w:r>
          </w:p>
        </w:tc>
        <w:tc>
          <w:tcPr>
            <w:tcW w:w="879" w:type="dxa"/>
            <w:vAlign w:val="center"/>
          </w:tcPr>
          <w:p>
            <w:pPr>
              <w:jc w:val="center"/>
            </w:pPr>
            <w:r>
              <w:rPr>
                <w:rFonts w:hint="eastAsia"/>
              </w:rPr>
              <w:t>7</w:t>
            </w:r>
          </w:p>
        </w:tc>
        <w:tc>
          <w:tcPr>
            <w:tcW w:w="705" w:type="dxa"/>
            <w:vAlign w:val="center"/>
          </w:tcPr>
          <w:p>
            <w:pPr>
              <w:widowControl/>
              <w:jc w:val="center"/>
              <w:textAlignment w:val="center"/>
            </w:pPr>
            <w:r>
              <w:rPr>
                <w:color w:val="000000"/>
                <w:kern w:val="0"/>
                <w:sz w:val="20"/>
                <w:szCs w:val="20"/>
                <w:lang w:bidi="ar"/>
              </w:rPr>
              <w:t>0</w:t>
            </w:r>
          </w:p>
        </w:tc>
        <w:tc>
          <w:tcPr>
            <w:tcW w:w="1006" w:type="dxa"/>
            <w:vAlign w:val="center"/>
          </w:tcPr>
          <w:p>
            <w:pPr>
              <w:widowControl/>
              <w:jc w:val="center"/>
              <w:textAlignment w:val="center"/>
            </w:pPr>
            <w:r>
              <w:rPr>
                <w:color w:val="000000"/>
                <w:kern w:val="0"/>
                <w:sz w:val="20"/>
                <w:szCs w:val="20"/>
                <w:lang w:bidi="ar"/>
              </w:rPr>
              <w:t>6</w:t>
            </w:r>
          </w:p>
        </w:tc>
      </w:tr>
    </w:tbl>
    <w:p>
      <w:pPr>
        <w:jc w:val="left"/>
      </w:pPr>
    </w:p>
    <w:p>
      <w:pPr>
        <w:jc w:val="left"/>
      </w:pPr>
      <w:r>
        <w:rPr>
          <w:rFonts w:hint="eastAsia" w:ascii="宋体" w:hAnsi="宋体"/>
          <w:sz w:val="24"/>
          <w:szCs w:val="24"/>
        </w:rPr>
        <w:t>16．选修课学分占总学分比例（按学科门类、专业）（按学科门类统计参见表6）</w:t>
      </w:r>
    </w:p>
    <w:p>
      <w:pPr>
        <w:jc w:val="center"/>
      </w:pPr>
      <w:r>
        <w:rPr>
          <w:rFonts w:hint="eastAsia" w:ascii="宋体" w:hAnsi="宋体"/>
          <w:sz w:val="24"/>
          <w:szCs w:val="24"/>
        </w:rPr>
        <w:t>附表6 各专业人才培养方案学时、学分情况</w:t>
      </w:r>
    </w:p>
    <w:tbl>
      <w:tblPr>
        <w:tblStyle w:val="22"/>
        <w:tblW w:w="9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7"/>
        <w:gridCol w:w="1912"/>
        <w:gridCol w:w="925"/>
        <w:gridCol w:w="751"/>
        <w:gridCol w:w="712"/>
        <w:gridCol w:w="725"/>
        <w:gridCol w:w="800"/>
        <w:gridCol w:w="877"/>
        <w:gridCol w:w="713"/>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067" w:type="dxa"/>
            <w:vMerge w:val="restart"/>
            <w:vAlign w:val="center"/>
          </w:tcPr>
          <w:p>
            <w:pPr>
              <w:jc w:val="center"/>
            </w:pPr>
            <w:r>
              <w:rPr>
                <w:rFonts w:hint="eastAsia" w:ascii="宋体" w:hAnsi="宋体"/>
                <w:szCs w:val="21"/>
              </w:rPr>
              <w:t>专业代码</w:t>
            </w:r>
          </w:p>
        </w:tc>
        <w:tc>
          <w:tcPr>
            <w:tcW w:w="1912" w:type="dxa"/>
            <w:vMerge w:val="restart"/>
            <w:vAlign w:val="center"/>
          </w:tcPr>
          <w:p>
            <w:pPr>
              <w:jc w:val="center"/>
            </w:pPr>
            <w:r>
              <w:rPr>
                <w:rFonts w:hint="eastAsia" w:ascii="宋体" w:hAnsi="宋体"/>
                <w:szCs w:val="21"/>
              </w:rPr>
              <w:t>专业名称</w:t>
            </w:r>
          </w:p>
        </w:tc>
        <w:tc>
          <w:tcPr>
            <w:tcW w:w="3913" w:type="dxa"/>
            <w:gridSpan w:val="5"/>
            <w:vAlign w:val="center"/>
          </w:tcPr>
          <w:p>
            <w:pPr>
              <w:jc w:val="center"/>
            </w:pPr>
            <w:r>
              <w:rPr>
                <w:rFonts w:hint="eastAsia" w:ascii="宋体" w:hAnsi="宋体"/>
                <w:szCs w:val="21"/>
              </w:rPr>
              <w:t>学时数</w:t>
            </w:r>
          </w:p>
        </w:tc>
        <w:tc>
          <w:tcPr>
            <w:tcW w:w="2303" w:type="dxa"/>
            <w:gridSpan w:val="3"/>
            <w:vAlign w:val="center"/>
          </w:tcPr>
          <w:p>
            <w:pPr>
              <w:jc w:val="center"/>
            </w:pPr>
            <w:r>
              <w:rPr>
                <w:rFonts w:hint="eastAsia" w:ascii="宋体" w:hAnsi="宋体"/>
                <w:szCs w:val="21"/>
              </w:rPr>
              <w:t>学分数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067" w:type="dxa"/>
            <w:vMerge w:val="continue"/>
            <w:vAlign w:val="center"/>
          </w:tcPr>
          <w:p>
            <w:pPr>
              <w:jc w:val="center"/>
            </w:pPr>
          </w:p>
        </w:tc>
        <w:tc>
          <w:tcPr>
            <w:tcW w:w="1912" w:type="dxa"/>
            <w:vMerge w:val="continue"/>
            <w:vAlign w:val="center"/>
          </w:tcPr>
          <w:p>
            <w:pPr>
              <w:jc w:val="center"/>
            </w:pPr>
          </w:p>
        </w:tc>
        <w:tc>
          <w:tcPr>
            <w:tcW w:w="925" w:type="dxa"/>
            <w:vMerge w:val="restart"/>
            <w:vAlign w:val="center"/>
          </w:tcPr>
          <w:p>
            <w:pPr>
              <w:jc w:val="center"/>
            </w:pPr>
            <w:r>
              <w:rPr>
                <w:rFonts w:hint="eastAsia" w:ascii="宋体" w:hAnsi="宋体"/>
                <w:szCs w:val="21"/>
              </w:rPr>
              <w:t>总数</w:t>
            </w:r>
          </w:p>
        </w:tc>
        <w:tc>
          <w:tcPr>
            <w:tcW w:w="1463" w:type="dxa"/>
            <w:gridSpan w:val="2"/>
            <w:vAlign w:val="center"/>
          </w:tcPr>
          <w:p>
            <w:pPr>
              <w:jc w:val="center"/>
            </w:pPr>
            <w:r>
              <w:rPr>
                <w:rFonts w:hint="eastAsia" w:ascii="宋体" w:hAnsi="宋体"/>
                <w:szCs w:val="21"/>
              </w:rPr>
              <w:t>其中</w:t>
            </w:r>
          </w:p>
        </w:tc>
        <w:tc>
          <w:tcPr>
            <w:tcW w:w="1525" w:type="dxa"/>
            <w:gridSpan w:val="2"/>
            <w:vAlign w:val="center"/>
          </w:tcPr>
          <w:p>
            <w:pPr>
              <w:jc w:val="center"/>
            </w:pPr>
            <w:r>
              <w:rPr>
                <w:rFonts w:hint="eastAsia" w:ascii="宋体" w:hAnsi="宋体"/>
                <w:szCs w:val="21"/>
              </w:rPr>
              <w:t>其中</w:t>
            </w:r>
          </w:p>
        </w:tc>
        <w:tc>
          <w:tcPr>
            <w:tcW w:w="877" w:type="dxa"/>
            <w:vMerge w:val="restart"/>
            <w:vAlign w:val="center"/>
          </w:tcPr>
          <w:p>
            <w:pPr>
              <w:jc w:val="center"/>
            </w:pPr>
            <w:r>
              <w:rPr>
                <w:rFonts w:hint="eastAsia" w:ascii="宋体" w:hAnsi="宋体"/>
                <w:szCs w:val="21"/>
              </w:rPr>
              <w:t>总数</w:t>
            </w:r>
          </w:p>
        </w:tc>
        <w:tc>
          <w:tcPr>
            <w:tcW w:w="1426" w:type="dxa"/>
            <w:gridSpan w:val="2"/>
            <w:vAlign w:val="center"/>
          </w:tcPr>
          <w:p>
            <w:pPr>
              <w:jc w:val="center"/>
            </w:pPr>
            <w:r>
              <w:rPr>
                <w:rFonts w:hint="eastAsia" w:ascii="宋体" w:hAnsi="宋体"/>
                <w:szCs w:val="21"/>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067" w:type="dxa"/>
            <w:vMerge w:val="continue"/>
            <w:vAlign w:val="center"/>
          </w:tcPr>
          <w:p>
            <w:pPr>
              <w:jc w:val="center"/>
            </w:pPr>
          </w:p>
        </w:tc>
        <w:tc>
          <w:tcPr>
            <w:tcW w:w="1912" w:type="dxa"/>
            <w:vMerge w:val="continue"/>
            <w:vAlign w:val="center"/>
          </w:tcPr>
          <w:p>
            <w:pPr>
              <w:jc w:val="center"/>
            </w:pPr>
          </w:p>
        </w:tc>
        <w:tc>
          <w:tcPr>
            <w:tcW w:w="925" w:type="dxa"/>
            <w:vMerge w:val="continue"/>
            <w:vAlign w:val="center"/>
          </w:tcPr>
          <w:p>
            <w:pPr>
              <w:jc w:val="center"/>
            </w:pPr>
          </w:p>
        </w:tc>
        <w:tc>
          <w:tcPr>
            <w:tcW w:w="751" w:type="dxa"/>
            <w:vAlign w:val="center"/>
          </w:tcPr>
          <w:p>
            <w:pPr>
              <w:jc w:val="center"/>
            </w:pPr>
            <w:r>
              <w:rPr>
                <w:rFonts w:hint="eastAsia" w:ascii="宋体" w:hAnsi="宋体"/>
                <w:szCs w:val="21"/>
              </w:rPr>
              <w:t>必修课占比（%）</w:t>
            </w:r>
          </w:p>
        </w:tc>
        <w:tc>
          <w:tcPr>
            <w:tcW w:w="712" w:type="dxa"/>
            <w:vAlign w:val="center"/>
          </w:tcPr>
          <w:p>
            <w:pPr>
              <w:jc w:val="center"/>
            </w:pPr>
            <w:r>
              <w:rPr>
                <w:rFonts w:hint="eastAsia" w:ascii="宋体" w:hAnsi="宋体"/>
                <w:szCs w:val="21"/>
              </w:rPr>
              <w:t>选修课占比（%）</w:t>
            </w:r>
          </w:p>
        </w:tc>
        <w:tc>
          <w:tcPr>
            <w:tcW w:w="725" w:type="dxa"/>
            <w:vAlign w:val="center"/>
          </w:tcPr>
          <w:p>
            <w:pPr>
              <w:jc w:val="center"/>
            </w:pPr>
            <w:r>
              <w:rPr>
                <w:rFonts w:hint="eastAsia" w:ascii="宋体" w:hAnsi="宋体"/>
                <w:szCs w:val="21"/>
              </w:rPr>
              <w:t>理论教学占比（%）</w:t>
            </w:r>
          </w:p>
        </w:tc>
        <w:tc>
          <w:tcPr>
            <w:tcW w:w="800" w:type="dxa"/>
            <w:vAlign w:val="center"/>
          </w:tcPr>
          <w:p>
            <w:pPr>
              <w:jc w:val="center"/>
            </w:pPr>
            <w:r>
              <w:rPr>
                <w:rFonts w:hint="eastAsia" w:ascii="宋体" w:hAnsi="宋体"/>
                <w:szCs w:val="21"/>
              </w:rPr>
              <w:t>实验教学占比（%）</w:t>
            </w:r>
          </w:p>
        </w:tc>
        <w:tc>
          <w:tcPr>
            <w:tcW w:w="877" w:type="dxa"/>
            <w:vMerge w:val="continue"/>
            <w:vAlign w:val="center"/>
          </w:tcPr>
          <w:p>
            <w:pPr>
              <w:jc w:val="center"/>
            </w:pPr>
          </w:p>
        </w:tc>
        <w:tc>
          <w:tcPr>
            <w:tcW w:w="713" w:type="dxa"/>
            <w:vAlign w:val="center"/>
          </w:tcPr>
          <w:p>
            <w:pPr>
              <w:jc w:val="center"/>
            </w:pPr>
            <w:r>
              <w:rPr>
                <w:rFonts w:hint="eastAsia" w:ascii="宋体" w:hAnsi="宋体"/>
                <w:szCs w:val="21"/>
              </w:rPr>
              <w:t>必修课占比（%）</w:t>
            </w:r>
          </w:p>
        </w:tc>
        <w:tc>
          <w:tcPr>
            <w:tcW w:w="713" w:type="dxa"/>
            <w:vAlign w:val="center"/>
          </w:tcPr>
          <w:p>
            <w:pPr>
              <w:jc w:val="center"/>
            </w:pPr>
            <w:r>
              <w:rPr>
                <w:rFonts w:hint="eastAsia" w:ascii="宋体" w:hAnsi="宋体"/>
                <w:szCs w:val="21"/>
              </w:rPr>
              <w:t>选修课占比（%）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120410T</w:t>
            </w:r>
          </w:p>
        </w:tc>
        <w:tc>
          <w:tcPr>
            <w:tcW w:w="1912" w:type="dxa"/>
            <w:vAlign w:val="center"/>
          </w:tcPr>
          <w:p>
            <w:pPr>
              <w:jc w:val="center"/>
            </w:pPr>
            <w:r>
              <w:t>健康服务与管理</w:t>
            </w:r>
          </w:p>
        </w:tc>
        <w:tc>
          <w:tcPr>
            <w:tcW w:w="925" w:type="dxa"/>
            <w:vAlign w:val="center"/>
          </w:tcPr>
          <w:p>
            <w:pPr>
              <w:jc w:val="center"/>
            </w:pPr>
            <w:r>
              <w:t>2436.00</w:t>
            </w:r>
          </w:p>
        </w:tc>
        <w:tc>
          <w:tcPr>
            <w:tcW w:w="751" w:type="dxa"/>
            <w:vAlign w:val="center"/>
          </w:tcPr>
          <w:p>
            <w:pPr>
              <w:jc w:val="center"/>
            </w:pPr>
            <w:r>
              <w:t>87.52</w:t>
            </w:r>
          </w:p>
        </w:tc>
        <w:tc>
          <w:tcPr>
            <w:tcW w:w="712" w:type="dxa"/>
            <w:vAlign w:val="center"/>
          </w:tcPr>
          <w:p>
            <w:pPr>
              <w:jc w:val="center"/>
            </w:pPr>
            <w:r>
              <w:t>12.48</w:t>
            </w:r>
          </w:p>
        </w:tc>
        <w:tc>
          <w:tcPr>
            <w:tcW w:w="725" w:type="dxa"/>
            <w:vAlign w:val="center"/>
          </w:tcPr>
          <w:p>
            <w:pPr>
              <w:jc w:val="center"/>
            </w:pPr>
            <w:r>
              <w:t>78.20</w:t>
            </w:r>
          </w:p>
        </w:tc>
        <w:tc>
          <w:tcPr>
            <w:tcW w:w="800" w:type="dxa"/>
            <w:vAlign w:val="center"/>
          </w:tcPr>
          <w:p>
            <w:pPr>
              <w:jc w:val="center"/>
            </w:pPr>
            <w:r>
              <w:t>21.80</w:t>
            </w:r>
          </w:p>
        </w:tc>
        <w:tc>
          <w:tcPr>
            <w:tcW w:w="877" w:type="dxa"/>
            <w:vAlign w:val="center"/>
          </w:tcPr>
          <w:p>
            <w:pPr>
              <w:jc w:val="center"/>
            </w:pPr>
            <w:r>
              <w:t>175.50</w:t>
            </w:r>
          </w:p>
        </w:tc>
        <w:tc>
          <w:tcPr>
            <w:tcW w:w="713" w:type="dxa"/>
            <w:vAlign w:val="center"/>
          </w:tcPr>
          <w:p>
            <w:pPr>
              <w:jc w:val="center"/>
            </w:pPr>
            <w:r>
              <w:t>67.52</w:t>
            </w:r>
          </w:p>
        </w:tc>
        <w:tc>
          <w:tcPr>
            <w:tcW w:w="713" w:type="dxa"/>
            <w:vAlign w:val="center"/>
          </w:tcPr>
          <w:p>
            <w:pPr>
              <w:jc w:val="center"/>
            </w:pPr>
            <w:r>
              <w:t>10.26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120401</w:t>
            </w:r>
          </w:p>
        </w:tc>
        <w:tc>
          <w:tcPr>
            <w:tcW w:w="1912" w:type="dxa"/>
            <w:vAlign w:val="center"/>
          </w:tcPr>
          <w:p>
            <w:pPr>
              <w:jc w:val="center"/>
            </w:pPr>
            <w:r>
              <w:t>公共事业管理</w:t>
            </w:r>
          </w:p>
        </w:tc>
        <w:tc>
          <w:tcPr>
            <w:tcW w:w="925" w:type="dxa"/>
            <w:vAlign w:val="center"/>
          </w:tcPr>
          <w:p>
            <w:pPr>
              <w:jc w:val="center"/>
            </w:pPr>
            <w:r>
              <w:t>2511.00</w:t>
            </w:r>
          </w:p>
        </w:tc>
        <w:tc>
          <w:tcPr>
            <w:tcW w:w="751" w:type="dxa"/>
            <w:vAlign w:val="center"/>
          </w:tcPr>
          <w:p>
            <w:pPr>
              <w:jc w:val="center"/>
            </w:pPr>
            <w:r>
              <w:t>89.33</w:t>
            </w:r>
          </w:p>
        </w:tc>
        <w:tc>
          <w:tcPr>
            <w:tcW w:w="712" w:type="dxa"/>
            <w:vAlign w:val="center"/>
          </w:tcPr>
          <w:p>
            <w:pPr>
              <w:jc w:val="center"/>
            </w:pPr>
            <w:r>
              <w:t>10.67</w:t>
            </w:r>
          </w:p>
        </w:tc>
        <w:tc>
          <w:tcPr>
            <w:tcW w:w="725" w:type="dxa"/>
            <w:vAlign w:val="center"/>
          </w:tcPr>
          <w:p>
            <w:pPr>
              <w:jc w:val="center"/>
            </w:pPr>
            <w:r>
              <w:t>78.34</w:t>
            </w:r>
          </w:p>
        </w:tc>
        <w:tc>
          <w:tcPr>
            <w:tcW w:w="800" w:type="dxa"/>
            <w:vAlign w:val="center"/>
          </w:tcPr>
          <w:p>
            <w:pPr>
              <w:jc w:val="center"/>
            </w:pPr>
            <w:r>
              <w:t>21.66</w:t>
            </w:r>
          </w:p>
        </w:tc>
        <w:tc>
          <w:tcPr>
            <w:tcW w:w="877" w:type="dxa"/>
            <w:vAlign w:val="center"/>
          </w:tcPr>
          <w:p>
            <w:pPr>
              <w:jc w:val="center"/>
            </w:pPr>
            <w:r>
              <w:t>177.00</w:t>
            </w:r>
          </w:p>
        </w:tc>
        <w:tc>
          <w:tcPr>
            <w:tcW w:w="713" w:type="dxa"/>
            <w:vAlign w:val="center"/>
          </w:tcPr>
          <w:p>
            <w:pPr>
              <w:jc w:val="center"/>
            </w:pPr>
            <w:r>
              <w:t>68.93</w:t>
            </w:r>
          </w:p>
        </w:tc>
        <w:tc>
          <w:tcPr>
            <w:tcW w:w="713" w:type="dxa"/>
            <w:vAlign w:val="center"/>
          </w:tcPr>
          <w:p>
            <w:pPr>
              <w:jc w:val="center"/>
            </w:pPr>
            <w:r>
              <w:t>9.04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101102T</w:t>
            </w:r>
          </w:p>
        </w:tc>
        <w:tc>
          <w:tcPr>
            <w:tcW w:w="1912" w:type="dxa"/>
            <w:vAlign w:val="center"/>
          </w:tcPr>
          <w:p>
            <w:pPr>
              <w:jc w:val="center"/>
            </w:pPr>
            <w:r>
              <w:t>助产学</w:t>
            </w:r>
          </w:p>
        </w:tc>
        <w:tc>
          <w:tcPr>
            <w:tcW w:w="925" w:type="dxa"/>
            <w:vAlign w:val="center"/>
          </w:tcPr>
          <w:p>
            <w:pPr>
              <w:jc w:val="center"/>
            </w:pPr>
            <w:r>
              <w:t>2503.00</w:t>
            </w:r>
          </w:p>
        </w:tc>
        <w:tc>
          <w:tcPr>
            <w:tcW w:w="751" w:type="dxa"/>
            <w:vAlign w:val="center"/>
          </w:tcPr>
          <w:p>
            <w:pPr>
              <w:jc w:val="center"/>
            </w:pPr>
            <w:r>
              <w:t>83.90</w:t>
            </w:r>
          </w:p>
        </w:tc>
        <w:tc>
          <w:tcPr>
            <w:tcW w:w="712" w:type="dxa"/>
            <w:vAlign w:val="center"/>
          </w:tcPr>
          <w:p>
            <w:pPr>
              <w:jc w:val="center"/>
            </w:pPr>
            <w:r>
              <w:t>16.10</w:t>
            </w:r>
          </w:p>
        </w:tc>
        <w:tc>
          <w:tcPr>
            <w:tcW w:w="725" w:type="dxa"/>
            <w:vAlign w:val="center"/>
          </w:tcPr>
          <w:p>
            <w:pPr>
              <w:jc w:val="center"/>
            </w:pPr>
            <w:r>
              <w:t>73.19</w:t>
            </w:r>
          </w:p>
        </w:tc>
        <w:tc>
          <w:tcPr>
            <w:tcW w:w="800" w:type="dxa"/>
            <w:vAlign w:val="center"/>
          </w:tcPr>
          <w:p>
            <w:pPr>
              <w:jc w:val="center"/>
            </w:pPr>
            <w:r>
              <w:t>26.81</w:t>
            </w:r>
          </w:p>
        </w:tc>
        <w:tc>
          <w:tcPr>
            <w:tcW w:w="877" w:type="dxa"/>
            <w:vAlign w:val="center"/>
          </w:tcPr>
          <w:p>
            <w:pPr>
              <w:jc w:val="center"/>
            </w:pPr>
            <w:r>
              <w:t>195.50</w:t>
            </w:r>
          </w:p>
        </w:tc>
        <w:tc>
          <w:tcPr>
            <w:tcW w:w="713" w:type="dxa"/>
            <w:vAlign w:val="center"/>
          </w:tcPr>
          <w:p>
            <w:pPr>
              <w:jc w:val="center"/>
            </w:pPr>
            <w:r>
              <w:t>59.85</w:t>
            </w:r>
          </w:p>
        </w:tc>
        <w:tc>
          <w:tcPr>
            <w:tcW w:w="713" w:type="dxa"/>
            <w:vAlign w:val="center"/>
          </w:tcPr>
          <w:p>
            <w:pPr>
              <w:jc w:val="center"/>
            </w:pPr>
            <w:r>
              <w:t>12.02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101101</w:t>
            </w:r>
          </w:p>
        </w:tc>
        <w:tc>
          <w:tcPr>
            <w:tcW w:w="1912" w:type="dxa"/>
            <w:vAlign w:val="center"/>
          </w:tcPr>
          <w:p>
            <w:pPr>
              <w:jc w:val="center"/>
            </w:pPr>
            <w:r>
              <w:t>护理学</w:t>
            </w:r>
          </w:p>
        </w:tc>
        <w:tc>
          <w:tcPr>
            <w:tcW w:w="925" w:type="dxa"/>
            <w:vAlign w:val="center"/>
          </w:tcPr>
          <w:p>
            <w:pPr>
              <w:jc w:val="center"/>
            </w:pPr>
            <w:r>
              <w:t>2536.00</w:t>
            </w:r>
          </w:p>
        </w:tc>
        <w:tc>
          <w:tcPr>
            <w:tcW w:w="751" w:type="dxa"/>
            <w:vAlign w:val="center"/>
          </w:tcPr>
          <w:p>
            <w:pPr>
              <w:jc w:val="center"/>
            </w:pPr>
            <w:r>
              <w:t>84.82</w:t>
            </w:r>
          </w:p>
        </w:tc>
        <w:tc>
          <w:tcPr>
            <w:tcW w:w="712" w:type="dxa"/>
            <w:vAlign w:val="center"/>
          </w:tcPr>
          <w:p>
            <w:pPr>
              <w:jc w:val="center"/>
            </w:pPr>
            <w:r>
              <w:t>15.18</w:t>
            </w:r>
          </w:p>
        </w:tc>
        <w:tc>
          <w:tcPr>
            <w:tcW w:w="725" w:type="dxa"/>
            <w:vAlign w:val="center"/>
          </w:tcPr>
          <w:p>
            <w:pPr>
              <w:jc w:val="center"/>
            </w:pPr>
            <w:r>
              <w:t>71.18</w:t>
            </w:r>
          </w:p>
        </w:tc>
        <w:tc>
          <w:tcPr>
            <w:tcW w:w="800" w:type="dxa"/>
            <w:vAlign w:val="center"/>
          </w:tcPr>
          <w:p>
            <w:pPr>
              <w:jc w:val="center"/>
            </w:pPr>
            <w:r>
              <w:t>28.82</w:t>
            </w:r>
          </w:p>
        </w:tc>
        <w:tc>
          <w:tcPr>
            <w:tcW w:w="877" w:type="dxa"/>
            <w:vAlign w:val="center"/>
          </w:tcPr>
          <w:p>
            <w:pPr>
              <w:jc w:val="center"/>
            </w:pPr>
            <w:r>
              <w:t>200.00</w:t>
            </w:r>
          </w:p>
        </w:tc>
        <w:tc>
          <w:tcPr>
            <w:tcW w:w="713" w:type="dxa"/>
            <w:vAlign w:val="center"/>
          </w:tcPr>
          <w:p>
            <w:pPr>
              <w:jc w:val="center"/>
            </w:pPr>
            <w:r>
              <w:t>60.25</w:t>
            </w:r>
          </w:p>
        </w:tc>
        <w:tc>
          <w:tcPr>
            <w:tcW w:w="713" w:type="dxa"/>
            <w:vAlign w:val="center"/>
          </w:tcPr>
          <w:p>
            <w:pPr>
              <w:jc w:val="center"/>
            </w:pPr>
            <w:r>
              <w:t>11.25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101012T</w:t>
            </w:r>
          </w:p>
        </w:tc>
        <w:tc>
          <w:tcPr>
            <w:tcW w:w="1912" w:type="dxa"/>
            <w:vAlign w:val="center"/>
          </w:tcPr>
          <w:p>
            <w:pPr>
              <w:jc w:val="center"/>
            </w:pPr>
            <w:r>
              <w:t>生物医药数据科学</w:t>
            </w:r>
          </w:p>
        </w:tc>
        <w:tc>
          <w:tcPr>
            <w:tcW w:w="925" w:type="dxa"/>
            <w:vAlign w:val="center"/>
          </w:tcPr>
          <w:p>
            <w:pPr>
              <w:jc w:val="center"/>
            </w:pPr>
            <w:r>
              <w:t>2668.00</w:t>
            </w:r>
          </w:p>
        </w:tc>
        <w:tc>
          <w:tcPr>
            <w:tcW w:w="751" w:type="dxa"/>
            <w:vAlign w:val="center"/>
          </w:tcPr>
          <w:p>
            <w:pPr>
              <w:jc w:val="center"/>
            </w:pPr>
            <w:r>
              <w:t>83.88</w:t>
            </w:r>
          </w:p>
        </w:tc>
        <w:tc>
          <w:tcPr>
            <w:tcW w:w="712" w:type="dxa"/>
            <w:vAlign w:val="center"/>
          </w:tcPr>
          <w:p>
            <w:pPr>
              <w:jc w:val="center"/>
            </w:pPr>
            <w:r>
              <w:t>16.12</w:t>
            </w:r>
          </w:p>
        </w:tc>
        <w:tc>
          <w:tcPr>
            <w:tcW w:w="725" w:type="dxa"/>
            <w:vAlign w:val="center"/>
          </w:tcPr>
          <w:p>
            <w:pPr>
              <w:jc w:val="center"/>
            </w:pPr>
            <w:r>
              <w:t>73.13</w:t>
            </w:r>
          </w:p>
        </w:tc>
        <w:tc>
          <w:tcPr>
            <w:tcW w:w="800" w:type="dxa"/>
            <w:vAlign w:val="center"/>
          </w:tcPr>
          <w:p>
            <w:pPr>
              <w:jc w:val="center"/>
            </w:pPr>
            <w:r>
              <w:t>26.87</w:t>
            </w:r>
          </w:p>
        </w:tc>
        <w:tc>
          <w:tcPr>
            <w:tcW w:w="877" w:type="dxa"/>
            <w:vAlign w:val="center"/>
          </w:tcPr>
          <w:p>
            <w:pPr>
              <w:jc w:val="center"/>
            </w:pPr>
            <w:r>
              <w:t>186.00</w:t>
            </w:r>
          </w:p>
        </w:tc>
        <w:tc>
          <w:tcPr>
            <w:tcW w:w="713" w:type="dxa"/>
            <w:vAlign w:val="center"/>
          </w:tcPr>
          <w:p>
            <w:pPr>
              <w:jc w:val="center"/>
            </w:pPr>
            <w:r>
              <w:t>67.74</w:t>
            </w:r>
          </w:p>
        </w:tc>
        <w:tc>
          <w:tcPr>
            <w:tcW w:w="713" w:type="dxa"/>
            <w:vAlign w:val="center"/>
          </w:tcPr>
          <w:p>
            <w:pPr>
              <w:jc w:val="center"/>
            </w:pPr>
            <w:r>
              <w:t>13.44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101011T</w:t>
            </w:r>
          </w:p>
        </w:tc>
        <w:tc>
          <w:tcPr>
            <w:tcW w:w="1912" w:type="dxa"/>
            <w:vAlign w:val="center"/>
          </w:tcPr>
          <w:p>
            <w:pPr>
              <w:jc w:val="center"/>
            </w:pPr>
            <w:r>
              <w:t>智能医学工程</w:t>
            </w:r>
          </w:p>
        </w:tc>
        <w:tc>
          <w:tcPr>
            <w:tcW w:w="925" w:type="dxa"/>
            <w:vAlign w:val="center"/>
          </w:tcPr>
          <w:p>
            <w:pPr>
              <w:jc w:val="center"/>
            </w:pPr>
            <w:r>
              <w:t>2539.00</w:t>
            </w:r>
          </w:p>
        </w:tc>
        <w:tc>
          <w:tcPr>
            <w:tcW w:w="751" w:type="dxa"/>
            <w:vAlign w:val="center"/>
          </w:tcPr>
          <w:p>
            <w:pPr>
              <w:jc w:val="center"/>
            </w:pPr>
            <w:r>
              <w:t>85.19</w:t>
            </w:r>
          </w:p>
        </w:tc>
        <w:tc>
          <w:tcPr>
            <w:tcW w:w="712" w:type="dxa"/>
            <w:vAlign w:val="center"/>
          </w:tcPr>
          <w:p>
            <w:pPr>
              <w:jc w:val="center"/>
            </w:pPr>
            <w:r>
              <w:t>14.81</w:t>
            </w:r>
          </w:p>
        </w:tc>
        <w:tc>
          <w:tcPr>
            <w:tcW w:w="725" w:type="dxa"/>
            <w:vAlign w:val="center"/>
          </w:tcPr>
          <w:p>
            <w:pPr>
              <w:jc w:val="center"/>
            </w:pPr>
            <w:r>
              <w:t>72.35</w:t>
            </w:r>
          </w:p>
        </w:tc>
        <w:tc>
          <w:tcPr>
            <w:tcW w:w="800" w:type="dxa"/>
            <w:vAlign w:val="center"/>
          </w:tcPr>
          <w:p>
            <w:pPr>
              <w:jc w:val="center"/>
            </w:pPr>
            <w:r>
              <w:t>27.65</w:t>
            </w:r>
          </w:p>
        </w:tc>
        <w:tc>
          <w:tcPr>
            <w:tcW w:w="877" w:type="dxa"/>
            <w:vAlign w:val="center"/>
          </w:tcPr>
          <w:p>
            <w:pPr>
              <w:jc w:val="center"/>
            </w:pPr>
            <w:r>
              <w:t>179.00</w:t>
            </w:r>
          </w:p>
        </w:tc>
        <w:tc>
          <w:tcPr>
            <w:tcW w:w="713" w:type="dxa"/>
            <w:vAlign w:val="center"/>
          </w:tcPr>
          <w:p>
            <w:pPr>
              <w:jc w:val="center"/>
            </w:pPr>
            <w:r>
              <w:t>67.32</w:t>
            </w:r>
          </w:p>
        </w:tc>
        <w:tc>
          <w:tcPr>
            <w:tcW w:w="713" w:type="dxa"/>
            <w:vAlign w:val="center"/>
          </w:tcPr>
          <w:p>
            <w:pPr>
              <w:jc w:val="center"/>
            </w:pPr>
            <w:r>
              <w:t>12.57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101005</w:t>
            </w:r>
          </w:p>
        </w:tc>
        <w:tc>
          <w:tcPr>
            <w:tcW w:w="1912" w:type="dxa"/>
            <w:vAlign w:val="center"/>
          </w:tcPr>
          <w:p>
            <w:pPr>
              <w:jc w:val="center"/>
            </w:pPr>
            <w:r>
              <w:t>康复治疗学</w:t>
            </w:r>
          </w:p>
        </w:tc>
        <w:tc>
          <w:tcPr>
            <w:tcW w:w="925" w:type="dxa"/>
            <w:vAlign w:val="center"/>
          </w:tcPr>
          <w:p>
            <w:pPr>
              <w:jc w:val="center"/>
            </w:pPr>
            <w:r>
              <w:t>2603.00</w:t>
            </w:r>
          </w:p>
        </w:tc>
        <w:tc>
          <w:tcPr>
            <w:tcW w:w="751" w:type="dxa"/>
            <w:vAlign w:val="center"/>
          </w:tcPr>
          <w:p>
            <w:pPr>
              <w:jc w:val="center"/>
            </w:pPr>
            <w:r>
              <w:t>86.94</w:t>
            </w:r>
          </w:p>
        </w:tc>
        <w:tc>
          <w:tcPr>
            <w:tcW w:w="712" w:type="dxa"/>
            <w:vAlign w:val="center"/>
          </w:tcPr>
          <w:p>
            <w:pPr>
              <w:jc w:val="center"/>
            </w:pPr>
            <w:r>
              <w:t>13.06</w:t>
            </w:r>
          </w:p>
        </w:tc>
        <w:tc>
          <w:tcPr>
            <w:tcW w:w="725" w:type="dxa"/>
            <w:vAlign w:val="center"/>
          </w:tcPr>
          <w:p>
            <w:pPr>
              <w:jc w:val="center"/>
            </w:pPr>
            <w:r>
              <w:t>79.87</w:t>
            </w:r>
          </w:p>
        </w:tc>
        <w:tc>
          <w:tcPr>
            <w:tcW w:w="800" w:type="dxa"/>
            <w:vAlign w:val="center"/>
          </w:tcPr>
          <w:p>
            <w:pPr>
              <w:jc w:val="center"/>
            </w:pPr>
            <w:r>
              <w:t>20.13</w:t>
            </w:r>
          </w:p>
        </w:tc>
        <w:tc>
          <w:tcPr>
            <w:tcW w:w="877" w:type="dxa"/>
            <w:vAlign w:val="center"/>
          </w:tcPr>
          <w:p>
            <w:pPr>
              <w:jc w:val="center"/>
            </w:pPr>
            <w:r>
              <w:t>201.50</w:t>
            </w:r>
          </w:p>
        </w:tc>
        <w:tc>
          <w:tcPr>
            <w:tcW w:w="713" w:type="dxa"/>
            <w:vAlign w:val="center"/>
          </w:tcPr>
          <w:p>
            <w:pPr>
              <w:jc w:val="center"/>
            </w:pPr>
            <w:r>
              <w:t>62.78</w:t>
            </w:r>
          </w:p>
        </w:tc>
        <w:tc>
          <w:tcPr>
            <w:tcW w:w="713" w:type="dxa"/>
            <w:vAlign w:val="center"/>
          </w:tcPr>
          <w:p>
            <w:pPr>
              <w:jc w:val="center"/>
            </w:pPr>
            <w:r>
              <w:t>9.93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101004</w:t>
            </w:r>
          </w:p>
        </w:tc>
        <w:tc>
          <w:tcPr>
            <w:tcW w:w="1912" w:type="dxa"/>
            <w:vAlign w:val="center"/>
          </w:tcPr>
          <w:p>
            <w:pPr>
              <w:jc w:val="center"/>
            </w:pPr>
            <w:r>
              <w:t>眼视光学</w:t>
            </w:r>
          </w:p>
        </w:tc>
        <w:tc>
          <w:tcPr>
            <w:tcW w:w="925" w:type="dxa"/>
            <w:vAlign w:val="center"/>
          </w:tcPr>
          <w:p>
            <w:pPr>
              <w:jc w:val="center"/>
            </w:pPr>
            <w:r>
              <w:t>2555.00</w:t>
            </w:r>
          </w:p>
        </w:tc>
        <w:tc>
          <w:tcPr>
            <w:tcW w:w="751" w:type="dxa"/>
            <w:vAlign w:val="center"/>
          </w:tcPr>
          <w:p>
            <w:pPr>
              <w:jc w:val="center"/>
            </w:pPr>
            <w:r>
              <w:t>86.69</w:t>
            </w:r>
          </w:p>
        </w:tc>
        <w:tc>
          <w:tcPr>
            <w:tcW w:w="712" w:type="dxa"/>
            <w:vAlign w:val="center"/>
          </w:tcPr>
          <w:p>
            <w:pPr>
              <w:jc w:val="center"/>
            </w:pPr>
            <w:r>
              <w:t>13.31</w:t>
            </w:r>
          </w:p>
        </w:tc>
        <w:tc>
          <w:tcPr>
            <w:tcW w:w="725" w:type="dxa"/>
            <w:vAlign w:val="center"/>
          </w:tcPr>
          <w:p>
            <w:pPr>
              <w:jc w:val="center"/>
            </w:pPr>
            <w:r>
              <w:t>70.18</w:t>
            </w:r>
          </w:p>
        </w:tc>
        <w:tc>
          <w:tcPr>
            <w:tcW w:w="800" w:type="dxa"/>
            <w:vAlign w:val="center"/>
          </w:tcPr>
          <w:p>
            <w:pPr>
              <w:jc w:val="center"/>
            </w:pPr>
            <w:r>
              <w:t>29.82</w:t>
            </w:r>
          </w:p>
        </w:tc>
        <w:tc>
          <w:tcPr>
            <w:tcW w:w="877" w:type="dxa"/>
            <w:vAlign w:val="center"/>
          </w:tcPr>
          <w:p>
            <w:pPr>
              <w:jc w:val="center"/>
            </w:pPr>
            <w:r>
              <w:t>205.00</w:t>
            </w:r>
          </w:p>
        </w:tc>
        <w:tc>
          <w:tcPr>
            <w:tcW w:w="713" w:type="dxa"/>
            <w:vAlign w:val="center"/>
          </w:tcPr>
          <w:p>
            <w:pPr>
              <w:jc w:val="center"/>
            </w:pPr>
            <w:r>
              <w:t>60.49</w:t>
            </w:r>
          </w:p>
        </w:tc>
        <w:tc>
          <w:tcPr>
            <w:tcW w:w="713" w:type="dxa"/>
            <w:vAlign w:val="center"/>
          </w:tcPr>
          <w:p>
            <w:pPr>
              <w:jc w:val="center"/>
            </w:pPr>
            <w:r>
              <w:t>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101003</w:t>
            </w:r>
          </w:p>
        </w:tc>
        <w:tc>
          <w:tcPr>
            <w:tcW w:w="1912" w:type="dxa"/>
            <w:vAlign w:val="center"/>
          </w:tcPr>
          <w:p>
            <w:pPr>
              <w:jc w:val="center"/>
            </w:pPr>
            <w:r>
              <w:t>医学影像技术</w:t>
            </w:r>
          </w:p>
        </w:tc>
        <w:tc>
          <w:tcPr>
            <w:tcW w:w="925" w:type="dxa"/>
            <w:vAlign w:val="center"/>
          </w:tcPr>
          <w:p>
            <w:pPr>
              <w:jc w:val="center"/>
            </w:pPr>
            <w:r>
              <w:t>2651.00</w:t>
            </w:r>
          </w:p>
        </w:tc>
        <w:tc>
          <w:tcPr>
            <w:tcW w:w="751" w:type="dxa"/>
            <w:vAlign w:val="center"/>
          </w:tcPr>
          <w:p>
            <w:pPr>
              <w:jc w:val="center"/>
            </w:pPr>
            <w:r>
              <w:t>87.17</w:t>
            </w:r>
          </w:p>
        </w:tc>
        <w:tc>
          <w:tcPr>
            <w:tcW w:w="712" w:type="dxa"/>
            <w:vAlign w:val="center"/>
          </w:tcPr>
          <w:p>
            <w:pPr>
              <w:jc w:val="center"/>
            </w:pPr>
            <w:r>
              <w:t>12.83</w:t>
            </w:r>
          </w:p>
        </w:tc>
        <w:tc>
          <w:tcPr>
            <w:tcW w:w="725" w:type="dxa"/>
            <w:vAlign w:val="center"/>
          </w:tcPr>
          <w:p>
            <w:pPr>
              <w:jc w:val="center"/>
            </w:pPr>
            <w:r>
              <w:t>77.74</w:t>
            </w:r>
          </w:p>
        </w:tc>
        <w:tc>
          <w:tcPr>
            <w:tcW w:w="800" w:type="dxa"/>
            <w:vAlign w:val="center"/>
          </w:tcPr>
          <w:p>
            <w:pPr>
              <w:jc w:val="center"/>
            </w:pPr>
            <w:r>
              <w:t>22.26</w:t>
            </w:r>
          </w:p>
        </w:tc>
        <w:tc>
          <w:tcPr>
            <w:tcW w:w="877" w:type="dxa"/>
            <w:vAlign w:val="center"/>
          </w:tcPr>
          <w:p>
            <w:pPr>
              <w:jc w:val="center"/>
            </w:pPr>
            <w:r>
              <w:t>208.50</w:t>
            </w:r>
          </w:p>
        </w:tc>
        <w:tc>
          <w:tcPr>
            <w:tcW w:w="713" w:type="dxa"/>
            <w:vAlign w:val="center"/>
          </w:tcPr>
          <w:p>
            <w:pPr>
              <w:jc w:val="center"/>
            </w:pPr>
            <w:r>
              <w:t>61.63</w:t>
            </w:r>
          </w:p>
        </w:tc>
        <w:tc>
          <w:tcPr>
            <w:tcW w:w="713" w:type="dxa"/>
            <w:vAlign w:val="center"/>
          </w:tcPr>
          <w:p>
            <w:pPr>
              <w:jc w:val="center"/>
            </w:pPr>
            <w:r>
              <w:t>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101001</w:t>
            </w:r>
          </w:p>
        </w:tc>
        <w:tc>
          <w:tcPr>
            <w:tcW w:w="1912" w:type="dxa"/>
            <w:vAlign w:val="center"/>
          </w:tcPr>
          <w:p>
            <w:pPr>
              <w:jc w:val="center"/>
            </w:pPr>
            <w:r>
              <w:t>医学检验技术</w:t>
            </w:r>
          </w:p>
        </w:tc>
        <w:tc>
          <w:tcPr>
            <w:tcW w:w="925" w:type="dxa"/>
            <w:vAlign w:val="center"/>
          </w:tcPr>
          <w:p>
            <w:pPr>
              <w:jc w:val="center"/>
            </w:pPr>
            <w:r>
              <w:t>2493.00</w:t>
            </w:r>
          </w:p>
        </w:tc>
        <w:tc>
          <w:tcPr>
            <w:tcW w:w="751" w:type="dxa"/>
            <w:vAlign w:val="center"/>
          </w:tcPr>
          <w:p>
            <w:pPr>
              <w:jc w:val="center"/>
            </w:pPr>
            <w:r>
              <w:t>86.36</w:t>
            </w:r>
          </w:p>
        </w:tc>
        <w:tc>
          <w:tcPr>
            <w:tcW w:w="712" w:type="dxa"/>
            <w:vAlign w:val="center"/>
          </w:tcPr>
          <w:p>
            <w:pPr>
              <w:jc w:val="center"/>
            </w:pPr>
            <w:r>
              <w:t>13.64</w:t>
            </w:r>
          </w:p>
        </w:tc>
        <w:tc>
          <w:tcPr>
            <w:tcW w:w="725" w:type="dxa"/>
            <w:vAlign w:val="center"/>
          </w:tcPr>
          <w:p>
            <w:pPr>
              <w:jc w:val="center"/>
            </w:pPr>
            <w:r>
              <w:t>65.74</w:t>
            </w:r>
          </w:p>
        </w:tc>
        <w:tc>
          <w:tcPr>
            <w:tcW w:w="800" w:type="dxa"/>
            <w:vAlign w:val="center"/>
          </w:tcPr>
          <w:p>
            <w:pPr>
              <w:jc w:val="center"/>
            </w:pPr>
            <w:r>
              <w:t>34.26</w:t>
            </w:r>
          </w:p>
        </w:tc>
        <w:tc>
          <w:tcPr>
            <w:tcW w:w="877" w:type="dxa"/>
            <w:vAlign w:val="center"/>
          </w:tcPr>
          <w:p>
            <w:pPr>
              <w:jc w:val="center"/>
            </w:pPr>
            <w:r>
              <w:t>203.50</w:t>
            </w:r>
          </w:p>
        </w:tc>
        <w:tc>
          <w:tcPr>
            <w:tcW w:w="713" w:type="dxa"/>
            <w:vAlign w:val="center"/>
          </w:tcPr>
          <w:p>
            <w:pPr>
              <w:jc w:val="center"/>
            </w:pPr>
            <w:r>
              <w:t>60.20</w:t>
            </w:r>
          </w:p>
        </w:tc>
        <w:tc>
          <w:tcPr>
            <w:tcW w:w="713" w:type="dxa"/>
            <w:vAlign w:val="center"/>
          </w:tcPr>
          <w:p>
            <w:pPr>
              <w:jc w:val="center"/>
            </w:pPr>
            <w:r>
              <w:t>9.83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100701</w:t>
            </w:r>
          </w:p>
        </w:tc>
        <w:tc>
          <w:tcPr>
            <w:tcW w:w="1912" w:type="dxa"/>
            <w:vAlign w:val="center"/>
          </w:tcPr>
          <w:p>
            <w:pPr>
              <w:jc w:val="center"/>
            </w:pPr>
            <w:r>
              <w:t>药学</w:t>
            </w:r>
          </w:p>
        </w:tc>
        <w:tc>
          <w:tcPr>
            <w:tcW w:w="925" w:type="dxa"/>
            <w:vAlign w:val="center"/>
          </w:tcPr>
          <w:p>
            <w:pPr>
              <w:jc w:val="center"/>
            </w:pPr>
            <w:r>
              <w:t>2549.00</w:t>
            </w:r>
          </w:p>
        </w:tc>
        <w:tc>
          <w:tcPr>
            <w:tcW w:w="751" w:type="dxa"/>
            <w:vAlign w:val="center"/>
          </w:tcPr>
          <w:p>
            <w:pPr>
              <w:jc w:val="center"/>
            </w:pPr>
            <w:r>
              <w:t>87.37</w:t>
            </w:r>
          </w:p>
        </w:tc>
        <w:tc>
          <w:tcPr>
            <w:tcW w:w="712" w:type="dxa"/>
            <w:vAlign w:val="center"/>
          </w:tcPr>
          <w:p>
            <w:pPr>
              <w:jc w:val="center"/>
            </w:pPr>
            <w:r>
              <w:t>12.63</w:t>
            </w:r>
          </w:p>
        </w:tc>
        <w:tc>
          <w:tcPr>
            <w:tcW w:w="725" w:type="dxa"/>
            <w:vAlign w:val="center"/>
          </w:tcPr>
          <w:p>
            <w:pPr>
              <w:jc w:val="center"/>
            </w:pPr>
            <w:r>
              <w:t>71.05</w:t>
            </w:r>
          </w:p>
        </w:tc>
        <w:tc>
          <w:tcPr>
            <w:tcW w:w="800" w:type="dxa"/>
            <w:vAlign w:val="center"/>
          </w:tcPr>
          <w:p>
            <w:pPr>
              <w:jc w:val="center"/>
            </w:pPr>
            <w:r>
              <w:t>28.95</w:t>
            </w:r>
          </w:p>
        </w:tc>
        <w:tc>
          <w:tcPr>
            <w:tcW w:w="877" w:type="dxa"/>
            <w:vAlign w:val="center"/>
          </w:tcPr>
          <w:p>
            <w:pPr>
              <w:jc w:val="center"/>
            </w:pPr>
            <w:r>
              <w:t>175.00</w:t>
            </w:r>
          </w:p>
        </w:tc>
        <w:tc>
          <w:tcPr>
            <w:tcW w:w="713" w:type="dxa"/>
            <w:vAlign w:val="center"/>
          </w:tcPr>
          <w:p>
            <w:pPr>
              <w:jc w:val="center"/>
            </w:pPr>
            <w:r>
              <w:t>71.43</w:t>
            </w:r>
          </w:p>
        </w:tc>
        <w:tc>
          <w:tcPr>
            <w:tcW w:w="713" w:type="dxa"/>
            <w:vAlign w:val="center"/>
          </w:tcPr>
          <w:p>
            <w:pPr>
              <w:jc w:val="center"/>
            </w:pPr>
            <w:r>
              <w:t>10.86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100401K</w:t>
            </w:r>
          </w:p>
        </w:tc>
        <w:tc>
          <w:tcPr>
            <w:tcW w:w="1912" w:type="dxa"/>
            <w:vAlign w:val="center"/>
          </w:tcPr>
          <w:p>
            <w:pPr>
              <w:jc w:val="center"/>
            </w:pPr>
            <w:r>
              <w:t>预防医学</w:t>
            </w:r>
          </w:p>
        </w:tc>
        <w:tc>
          <w:tcPr>
            <w:tcW w:w="925" w:type="dxa"/>
            <w:vAlign w:val="center"/>
          </w:tcPr>
          <w:p>
            <w:pPr>
              <w:jc w:val="center"/>
            </w:pPr>
            <w:r>
              <w:t>3358.00</w:t>
            </w:r>
          </w:p>
        </w:tc>
        <w:tc>
          <w:tcPr>
            <w:tcW w:w="751" w:type="dxa"/>
            <w:vAlign w:val="center"/>
          </w:tcPr>
          <w:p>
            <w:pPr>
              <w:jc w:val="center"/>
            </w:pPr>
            <w:r>
              <w:t>88.03</w:t>
            </w:r>
          </w:p>
        </w:tc>
        <w:tc>
          <w:tcPr>
            <w:tcW w:w="712" w:type="dxa"/>
            <w:vAlign w:val="center"/>
          </w:tcPr>
          <w:p>
            <w:pPr>
              <w:jc w:val="center"/>
            </w:pPr>
            <w:r>
              <w:t>11.97</w:t>
            </w:r>
          </w:p>
        </w:tc>
        <w:tc>
          <w:tcPr>
            <w:tcW w:w="725" w:type="dxa"/>
            <w:vAlign w:val="center"/>
          </w:tcPr>
          <w:p>
            <w:pPr>
              <w:jc w:val="center"/>
            </w:pPr>
            <w:r>
              <w:t>79.12</w:t>
            </w:r>
          </w:p>
        </w:tc>
        <w:tc>
          <w:tcPr>
            <w:tcW w:w="800" w:type="dxa"/>
            <w:vAlign w:val="center"/>
          </w:tcPr>
          <w:p>
            <w:pPr>
              <w:jc w:val="center"/>
            </w:pPr>
            <w:r>
              <w:t>20.88</w:t>
            </w:r>
          </w:p>
        </w:tc>
        <w:tc>
          <w:tcPr>
            <w:tcW w:w="877" w:type="dxa"/>
            <w:vAlign w:val="center"/>
          </w:tcPr>
          <w:p>
            <w:pPr>
              <w:jc w:val="center"/>
            </w:pPr>
            <w:r>
              <w:t>258.50</w:t>
            </w:r>
          </w:p>
        </w:tc>
        <w:tc>
          <w:tcPr>
            <w:tcW w:w="713" w:type="dxa"/>
            <w:vAlign w:val="center"/>
          </w:tcPr>
          <w:p>
            <w:pPr>
              <w:jc w:val="center"/>
            </w:pPr>
            <w:r>
              <w:t>64.41</w:t>
            </w:r>
          </w:p>
        </w:tc>
        <w:tc>
          <w:tcPr>
            <w:tcW w:w="713" w:type="dxa"/>
            <w:vAlign w:val="center"/>
          </w:tcPr>
          <w:p>
            <w:pPr>
              <w:jc w:val="center"/>
            </w:pPr>
            <w:r>
              <w:t>10.83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100201K</w:t>
            </w:r>
          </w:p>
        </w:tc>
        <w:tc>
          <w:tcPr>
            <w:tcW w:w="1912" w:type="dxa"/>
            <w:vAlign w:val="center"/>
          </w:tcPr>
          <w:p>
            <w:pPr>
              <w:jc w:val="center"/>
            </w:pPr>
            <w:r>
              <w:t>临床医学</w:t>
            </w:r>
          </w:p>
        </w:tc>
        <w:tc>
          <w:tcPr>
            <w:tcW w:w="925" w:type="dxa"/>
            <w:vAlign w:val="center"/>
          </w:tcPr>
          <w:p>
            <w:pPr>
              <w:jc w:val="center"/>
            </w:pPr>
            <w:r>
              <w:t>3638.00</w:t>
            </w:r>
          </w:p>
        </w:tc>
        <w:tc>
          <w:tcPr>
            <w:tcW w:w="751" w:type="dxa"/>
            <w:vAlign w:val="center"/>
          </w:tcPr>
          <w:p>
            <w:pPr>
              <w:jc w:val="center"/>
            </w:pPr>
            <w:r>
              <w:t>90.41</w:t>
            </w:r>
          </w:p>
        </w:tc>
        <w:tc>
          <w:tcPr>
            <w:tcW w:w="712" w:type="dxa"/>
            <w:vAlign w:val="center"/>
          </w:tcPr>
          <w:p>
            <w:pPr>
              <w:jc w:val="center"/>
            </w:pPr>
            <w:r>
              <w:t>9.59</w:t>
            </w:r>
          </w:p>
        </w:tc>
        <w:tc>
          <w:tcPr>
            <w:tcW w:w="725" w:type="dxa"/>
            <w:vAlign w:val="center"/>
          </w:tcPr>
          <w:p>
            <w:pPr>
              <w:jc w:val="center"/>
            </w:pPr>
            <w:r>
              <w:t>78.34</w:t>
            </w:r>
          </w:p>
        </w:tc>
        <w:tc>
          <w:tcPr>
            <w:tcW w:w="800" w:type="dxa"/>
            <w:vAlign w:val="center"/>
          </w:tcPr>
          <w:p>
            <w:pPr>
              <w:jc w:val="center"/>
            </w:pPr>
            <w:r>
              <w:t>21.66</w:t>
            </w:r>
          </w:p>
        </w:tc>
        <w:tc>
          <w:tcPr>
            <w:tcW w:w="877" w:type="dxa"/>
            <w:vAlign w:val="center"/>
          </w:tcPr>
          <w:p>
            <w:pPr>
              <w:jc w:val="center"/>
            </w:pPr>
            <w:r>
              <w:t>273.50</w:t>
            </w:r>
          </w:p>
        </w:tc>
        <w:tc>
          <w:tcPr>
            <w:tcW w:w="713" w:type="dxa"/>
            <w:vAlign w:val="center"/>
          </w:tcPr>
          <w:p>
            <w:pPr>
              <w:jc w:val="center"/>
            </w:pPr>
            <w:r>
              <w:t>67.28</w:t>
            </w:r>
          </w:p>
        </w:tc>
        <w:tc>
          <w:tcPr>
            <w:tcW w:w="713" w:type="dxa"/>
            <w:vAlign w:val="center"/>
          </w:tcPr>
          <w:p>
            <w:pPr>
              <w:jc w:val="center"/>
            </w:pPr>
            <w: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083002T</w:t>
            </w:r>
          </w:p>
        </w:tc>
        <w:tc>
          <w:tcPr>
            <w:tcW w:w="1912" w:type="dxa"/>
            <w:vAlign w:val="center"/>
          </w:tcPr>
          <w:p>
            <w:pPr>
              <w:jc w:val="center"/>
            </w:pPr>
            <w:r>
              <w:t>生物制药</w:t>
            </w:r>
          </w:p>
        </w:tc>
        <w:tc>
          <w:tcPr>
            <w:tcW w:w="925" w:type="dxa"/>
            <w:vAlign w:val="center"/>
          </w:tcPr>
          <w:p>
            <w:pPr>
              <w:jc w:val="center"/>
            </w:pPr>
            <w:r>
              <w:t>2683.00</w:t>
            </w:r>
          </w:p>
        </w:tc>
        <w:tc>
          <w:tcPr>
            <w:tcW w:w="751" w:type="dxa"/>
            <w:vAlign w:val="center"/>
          </w:tcPr>
          <w:p>
            <w:pPr>
              <w:jc w:val="center"/>
            </w:pPr>
            <w:r>
              <w:t>82.97</w:t>
            </w:r>
          </w:p>
        </w:tc>
        <w:tc>
          <w:tcPr>
            <w:tcW w:w="712" w:type="dxa"/>
            <w:vAlign w:val="center"/>
          </w:tcPr>
          <w:p>
            <w:pPr>
              <w:jc w:val="center"/>
            </w:pPr>
            <w:r>
              <w:t>17.03</w:t>
            </w:r>
          </w:p>
        </w:tc>
        <w:tc>
          <w:tcPr>
            <w:tcW w:w="725" w:type="dxa"/>
            <w:vAlign w:val="center"/>
          </w:tcPr>
          <w:p>
            <w:pPr>
              <w:jc w:val="center"/>
            </w:pPr>
            <w:r>
              <w:t>72.75</w:t>
            </w:r>
          </w:p>
        </w:tc>
        <w:tc>
          <w:tcPr>
            <w:tcW w:w="800" w:type="dxa"/>
            <w:vAlign w:val="center"/>
          </w:tcPr>
          <w:p>
            <w:pPr>
              <w:jc w:val="center"/>
            </w:pPr>
            <w:r>
              <w:t>27.25</w:t>
            </w:r>
          </w:p>
        </w:tc>
        <w:tc>
          <w:tcPr>
            <w:tcW w:w="877" w:type="dxa"/>
            <w:vAlign w:val="center"/>
          </w:tcPr>
          <w:p>
            <w:pPr>
              <w:jc w:val="center"/>
            </w:pPr>
            <w:r>
              <w:t>182.50</w:t>
            </w:r>
          </w:p>
        </w:tc>
        <w:tc>
          <w:tcPr>
            <w:tcW w:w="713" w:type="dxa"/>
            <w:vAlign w:val="center"/>
          </w:tcPr>
          <w:p>
            <w:pPr>
              <w:jc w:val="center"/>
            </w:pPr>
            <w:r>
              <w:t>67.40</w:t>
            </w:r>
          </w:p>
        </w:tc>
        <w:tc>
          <w:tcPr>
            <w:tcW w:w="713" w:type="dxa"/>
            <w:vAlign w:val="center"/>
          </w:tcPr>
          <w:p>
            <w:pPr>
              <w:jc w:val="center"/>
            </w:pPr>
            <w:r>
              <w:t>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082601</w:t>
            </w:r>
          </w:p>
        </w:tc>
        <w:tc>
          <w:tcPr>
            <w:tcW w:w="1912" w:type="dxa"/>
            <w:vAlign w:val="center"/>
          </w:tcPr>
          <w:p>
            <w:pPr>
              <w:jc w:val="center"/>
            </w:pPr>
            <w:r>
              <w:t>生物医学工程</w:t>
            </w:r>
          </w:p>
        </w:tc>
        <w:tc>
          <w:tcPr>
            <w:tcW w:w="925" w:type="dxa"/>
            <w:vAlign w:val="center"/>
          </w:tcPr>
          <w:p>
            <w:pPr>
              <w:jc w:val="center"/>
            </w:pPr>
            <w:r>
              <w:t>2620.00</w:t>
            </w:r>
          </w:p>
        </w:tc>
        <w:tc>
          <w:tcPr>
            <w:tcW w:w="751" w:type="dxa"/>
            <w:vAlign w:val="center"/>
          </w:tcPr>
          <w:p>
            <w:pPr>
              <w:jc w:val="center"/>
            </w:pPr>
            <w:r>
              <w:t>88.05</w:t>
            </w:r>
          </w:p>
        </w:tc>
        <w:tc>
          <w:tcPr>
            <w:tcW w:w="712" w:type="dxa"/>
            <w:vAlign w:val="center"/>
          </w:tcPr>
          <w:p>
            <w:pPr>
              <w:jc w:val="center"/>
            </w:pPr>
            <w:r>
              <w:t>11.95</w:t>
            </w:r>
          </w:p>
        </w:tc>
        <w:tc>
          <w:tcPr>
            <w:tcW w:w="725" w:type="dxa"/>
            <w:vAlign w:val="center"/>
          </w:tcPr>
          <w:p>
            <w:pPr>
              <w:jc w:val="center"/>
            </w:pPr>
            <w:r>
              <w:t>75.27</w:t>
            </w:r>
          </w:p>
        </w:tc>
        <w:tc>
          <w:tcPr>
            <w:tcW w:w="800" w:type="dxa"/>
            <w:vAlign w:val="center"/>
          </w:tcPr>
          <w:p>
            <w:pPr>
              <w:jc w:val="center"/>
            </w:pPr>
            <w:r>
              <w:t>24.73</w:t>
            </w:r>
          </w:p>
        </w:tc>
        <w:tc>
          <w:tcPr>
            <w:tcW w:w="877" w:type="dxa"/>
            <w:vAlign w:val="center"/>
          </w:tcPr>
          <w:p>
            <w:pPr>
              <w:jc w:val="center"/>
            </w:pPr>
            <w:r>
              <w:t>181.00</w:t>
            </w:r>
          </w:p>
        </w:tc>
        <w:tc>
          <w:tcPr>
            <w:tcW w:w="713" w:type="dxa"/>
            <w:vAlign w:val="center"/>
          </w:tcPr>
          <w:p>
            <w:pPr>
              <w:jc w:val="center"/>
            </w:pPr>
            <w:r>
              <w:t>70.44</w:t>
            </w:r>
          </w:p>
        </w:tc>
        <w:tc>
          <w:tcPr>
            <w:tcW w:w="713" w:type="dxa"/>
            <w:vAlign w:val="center"/>
          </w:tcPr>
          <w:p>
            <w:pPr>
              <w:jc w:val="center"/>
            </w:pPr>
            <w:r>
              <w:t>10.22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7" w:type="dxa"/>
            <w:vAlign w:val="center"/>
          </w:tcPr>
          <w:p>
            <w:pPr>
              <w:jc w:val="center"/>
            </w:pPr>
            <w:r>
              <w:t>全校校均</w:t>
            </w:r>
          </w:p>
        </w:tc>
        <w:tc>
          <w:tcPr>
            <w:tcW w:w="1912" w:type="dxa"/>
            <w:vAlign w:val="center"/>
          </w:tcPr>
          <w:p>
            <w:pPr>
              <w:jc w:val="center"/>
            </w:pPr>
            <w:r>
              <w:t>/</w:t>
            </w:r>
          </w:p>
        </w:tc>
        <w:tc>
          <w:tcPr>
            <w:tcW w:w="925" w:type="dxa"/>
            <w:vAlign w:val="center"/>
          </w:tcPr>
          <w:p>
            <w:pPr>
              <w:jc w:val="center"/>
            </w:pPr>
            <w:r>
              <w:t>2689.53</w:t>
            </w:r>
          </w:p>
        </w:tc>
        <w:tc>
          <w:tcPr>
            <w:tcW w:w="751" w:type="dxa"/>
            <w:vAlign w:val="center"/>
          </w:tcPr>
          <w:p>
            <w:pPr>
              <w:jc w:val="center"/>
            </w:pPr>
            <w:r>
              <w:t>86.69</w:t>
            </w:r>
          </w:p>
        </w:tc>
        <w:tc>
          <w:tcPr>
            <w:tcW w:w="712" w:type="dxa"/>
            <w:vAlign w:val="center"/>
          </w:tcPr>
          <w:p>
            <w:pPr>
              <w:jc w:val="center"/>
            </w:pPr>
            <w:r>
              <w:t>13.31</w:t>
            </w:r>
          </w:p>
        </w:tc>
        <w:tc>
          <w:tcPr>
            <w:tcW w:w="725" w:type="dxa"/>
            <w:vAlign w:val="center"/>
          </w:tcPr>
          <w:p>
            <w:pPr>
              <w:jc w:val="center"/>
            </w:pPr>
            <w:r>
              <w:t>74.64</w:t>
            </w:r>
          </w:p>
        </w:tc>
        <w:tc>
          <w:tcPr>
            <w:tcW w:w="800" w:type="dxa"/>
            <w:vAlign w:val="center"/>
          </w:tcPr>
          <w:p>
            <w:pPr>
              <w:jc w:val="center"/>
            </w:pPr>
            <w:r>
              <w:t>25.36</w:t>
            </w:r>
          </w:p>
        </w:tc>
        <w:tc>
          <w:tcPr>
            <w:tcW w:w="877" w:type="dxa"/>
            <w:vAlign w:val="center"/>
          </w:tcPr>
          <w:p>
            <w:pPr>
              <w:jc w:val="center"/>
            </w:pPr>
            <w:r>
              <w:t>200.13</w:t>
            </w:r>
          </w:p>
        </w:tc>
        <w:tc>
          <w:tcPr>
            <w:tcW w:w="713" w:type="dxa"/>
            <w:vAlign w:val="center"/>
          </w:tcPr>
          <w:p>
            <w:pPr>
              <w:jc w:val="center"/>
            </w:pPr>
            <w:r>
              <w:t>65.02</w:t>
            </w:r>
          </w:p>
        </w:tc>
        <w:tc>
          <w:tcPr>
            <w:tcW w:w="713" w:type="dxa"/>
            <w:vAlign w:val="center"/>
          </w:tcPr>
          <w:p>
            <w:pPr>
              <w:jc w:val="center"/>
            </w:pPr>
            <w:r>
              <w:t>10.63</w:t>
            </w:r>
          </w:p>
        </w:tc>
      </w:tr>
    </w:tbl>
    <w:p>
      <w:pPr>
        <w:jc w:val="left"/>
      </w:pPr>
    </w:p>
    <w:p>
      <w:pPr>
        <w:jc w:val="left"/>
      </w:pPr>
      <w:r>
        <w:rPr>
          <w:rFonts w:hint="eastAsia" w:ascii="宋体" w:hAnsi="宋体"/>
          <w:sz w:val="24"/>
          <w:szCs w:val="24"/>
        </w:rPr>
        <w:t>17. 主讲本科课程的教授占教授总数的比例（不含讲座）</w:t>
      </w:r>
      <w:r>
        <w:rPr>
          <w:rFonts w:hint="eastAsia" w:ascii="宋体" w:hAnsi="宋体"/>
          <w:sz w:val="24"/>
          <w:szCs w:val="24"/>
          <w:u w:val="single"/>
        </w:rPr>
        <w:t>86.36</w:t>
      </w:r>
      <w:r>
        <w:rPr>
          <w:rFonts w:ascii="宋体" w:hAnsi="宋体"/>
          <w:sz w:val="24"/>
          <w:u w:val="single"/>
        </w:rPr>
        <w:t>%</w:t>
      </w:r>
      <w:r>
        <w:rPr>
          <w:rFonts w:hint="eastAsia" w:ascii="宋体" w:hAnsi="宋体"/>
          <w:sz w:val="24"/>
          <w:szCs w:val="24"/>
          <w:u w:val="single"/>
        </w:rPr>
        <w:t>，各专业主讲本科课程的教授占教授总数的比例（不含讲座）参见附表3。</w:t>
      </w:r>
    </w:p>
    <w:p>
      <w:pPr>
        <w:jc w:val="left"/>
      </w:pPr>
    </w:p>
    <w:p>
      <w:pPr>
        <w:jc w:val="left"/>
      </w:pPr>
      <w:r>
        <w:rPr>
          <w:rFonts w:hint="eastAsia" w:ascii="宋体" w:hAnsi="宋体"/>
          <w:sz w:val="24"/>
          <w:szCs w:val="24"/>
        </w:rPr>
        <w:t>18. 教授讲授本科课程占课程总门次数的比例5.38%。</w:t>
      </w:r>
    </w:p>
    <w:p>
      <w:pPr>
        <w:jc w:val="left"/>
      </w:pPr>
    </w:p>
    <w:p>
      <w:pPr>
        <w:jc w:val="left"/>
      </w:pPr>
      <w:r>
        <w:rPr>
          <w:rFonts w:hint="eastAsia" w:ascii="宋体" w:hAnsi="宋体"/>
          <w:sz w:val="24"/>
          <w:szCs w:val="24"/>
        </w:rPr>
        <w:t>19. 各专业实践教学及实习实训基地及其使用情况参见附表5。</w:t>
      </w:r>
    </w:p>
    <w:p>
      <w:pPr>
        <w:jc w:val="left"/>
      </w:pPr>
    </w:p>
    <w:p>
      <w:pPr>
        <w:jc w:val="left"/>
      </w:pPr>
      <w:r>
        <w:rPr>
          <w:rFonts w:hint="eastAsia" w:ascii="宋体" w:hAnsi="宋体"/>
          <w:sz w:val="24"/>
          <w:szCs w:val="24"/>
        </w:rPr>
        <w:t>20. 应届本科生毕业率</w:t>
      </w:r>
      <w:r>
        <w:rPr>
          <w:rFonts w:hint="eastAsia" w:ascii="宋体" w:hAnsi="宋体"/>
          <w:sz w:val="24"/>
          <w:szCs w:val="24"/>
          <w:u w:val="single"/>
        </w:rPr>
        <w:t>100.00</w:t>
      </w:r>
      <w:r>
        <w:rPr>
          <w:rFonts w:ascii="宋体" w:hAnsi="宋体"/>
          <w:sz w:val="24"/>
          <w:u w:val="single"/>
        </w:rPr>
        <w:t>%，分</w:t>
      </w:r>
      <w:r>
        <w:rPr>
          <w:rFonts w:hint="eastAsia" w:ascii="宋体" w:hAnsi="宋体"/>
          <w:sz w:val="24"/>
          <w:szCs w:val="24"/>
          <w:u w:val="single"/>
        </w:rPr>
        <w:t>专业本科生毕业率见附表7。</w:t>
      </w:r>
    </w:p>
    <w:p>
      <w:pPr>
        <w:jc w:val="center"/>
        <w:rPr>
          <w:rFonts w:ascii="宋体" w:hAnsi="宋体"/>
          <w:sz w:val="24"/>
          <w:szCs w:val="24"/>
        </w:rPr>
      </w:pPr>
    </w:p>
    <w:p>
      <w:pPr>
        <w:jc w:val="center"/>
      </w:pPr>
      <w:r>
        <w:rPr>
          <w:rFonts w:hint="eastAsia" w:ascii="宋体" w:hAnsi="宋体"/>
          <w:sz w:val="24"/>
          <w:szCs w:val="24"/>
        </w:rPr>
        <w:t>附表7  分专业本科生毕业率</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75"/>
        <w:gridCol w:w="2056"/>
        <w:gridCol w:w="1785"/>
        <w:gridCol w:w="1364"/>
        <w:gridCol w:w="12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2075" w:type="dxa"/>
            <w:vAlign w:val="center"/>
          </w:tcPr>
          <w:p>
            <w:pPr>
              <w:jc w:val="center"/>
            </w:pPr>
            <w:r>
              <w:rPr>
                <w:rFonts w:hint="eastAsia" w:ascii="宋体" w:hAnsi="宋体"/>
                <w:szCs w:val="21"/>
              </w:rPr>
              <w:t>专业代码</w:t>
            </w:r>
          </w:p>
        </w:tc>
        <w:tc>
          <w:tcPr>
            <w:tcW w:w="2056" w:type="dxa"/>
            <w:vAlign w:val="center"/>
          </w:tcPr>
          <w:p>
            <w:pPr>
              <w:jc w:val="center"/>
            </w:pPr>
            <w:r>
              <w:rPr>
                <w:rFonts w:hint="eastAsia" w:ascii="宋体" w:hAnsi="宋体"/>
                <w:szCs w:val="21"/>
              </w:rPr>
              <w:t>专业名称</w:t>
            </w:r>
          </w:p>
        </w:tc>
        <w:tc>
          <w:tcPr>
            <w:tcW w:w="1785" w:type="dxa"/>
            <w:vAlign w:val="center"/>
          </w:tcPr>
          <w:p>
            <w:pPr>
              <w:jc w:val="center"/>
            </w:pPr>
            <w:r>
              <w:rPr>
                <w:rFonts w:hint="eastAsia" w:ascii="宋体" w:hAnsi="宋体"/>
                <w:szCs w:val="21"/>
              </w:rPr>
              <w:t>毕业班人数</w:t>
            </w:r>
          </w:p>
        </w:tc>
        <w:tc>
          <w:tcPr>
            <w:tcW w:w="1364" w:type="dxa"/>
            <w:vAlign w:val="center"/>
          </w:tcPr>
          <w:p>
            <w:pPr>
              <w:jc w:val="center"/>
            </w:pPr>
            <w:r>
              <w:rPr>
                <w:rFonts w:hint="eastAsia" w:ascii="宋体" w:hAnsi="宋体"/>
                <w:szCs w:val="21"/>
              </w:rPr>
              <w:t>毕业人数</w:t>
            </w:r>
          </w:p>
        </w:tc>
        <w:tc>
          <w:tcPr>
            <w:tcW w:w="1242" w:type="dxa"/>
            <w:vAlign w:val="center"/>
          </w:tcPr>
          <w:p>
            <w:pPr>
              <w:jc w:val="center"/>
            </w:pPr>
            <w:r>
              <w:rPr>
                <w:rFonts w:hint="eastAsia" w:ascii="宋体" w:hAnsi="宋体"/>
                <w:szCs w:val="21"/>
              </w:rPr>
              <w:t>毕业率（%）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082601</w:t>
            </w:r>
          </w:p>
        </w:tc>
        <w:tc>
          <w:tcPr>
            <w:tcW w:w="2056" w:type="dxa"/>
            <w:vAlign w:val="center"/>
          </w:tcPr>
          <w:p>
            <w:pPr>
              <w:jc w:val="center"/>
            </w:pPr>
            <w:r>
              <w:t>生物医学工程</w:t>
            </w:r>
          </w:p>
        </w:tc>
        <w:tc>
          <w:tcPr>
            <w:tcW w:w="1785" w:type="dxa"/>
            <w:vAlign w:val="center"/>
          </w:tcPr>
          <w:p>
            <w:pPr>
              <w:jc w:val="center"/>
            </w:pPr>
            <w:r>
              <w:t>25</w:t>
            </w:r>
          </w:p>
        </w:tc>
        <w:tc>
          <w:tcPr>
            <w:tcW w:w="1364" w:type="dxa"/>
            <w:vAlign w:val="center"/>
          </w:tcPr>
          <w:p>
            <w:pPr>
              <w:jc w:val="center"/>
            </w:pPr>
            <w:r>
              <w:t>25</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100201K</w:t>
            </w:r>
          </w:p>
        </w:tc>
        <w:tc>
          <w:tcPr>
            <w:tcW w:w="2056" w:type="dxa"/>
            <w:vAlign w:val="center"/>
          </w:tcPr>
          <w:p>
            <w:pPr>
              <w:jc w:val="center"/>
            </w:pPr>
            <w:r>
              <w:t>临床医学</w:t>
            </w:r>
          </w:p>
        </w:tc>
        <w:tc>
          <w:tcPr>
            <w:tcW w:w="1785" w:type="dxa"/>
            <w:vAlign w:val="center"/>
          </w:tcPr>
          <w:p>
            <w:pPr>
              <w:jc w:val="center"/>
            </w:pPr>
            <w:r>
              <w:t>311</w:t>
            </w:r>
          </w:p>
        </w:tc>
        <w:tc>
          <w:tcPr>
            <w:tcW w:w="1364" w:type="dxa"/>
            <w:vAlign w:val="center"/>
          </w:tcPr>
          <w:p>
            <w:pPr>
              <w:jc w:val="center"/>
            </w:pPr>
            <w:r>
              <w:t>311</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100701</w:t>
            </w:r>
          </w:p>
        </w:tc>
        <w:tc>
          <w:tcPr>
            <w:tcW w:w="2056" w:type="dxa"/>
            <w:vAlign w:val="center"/>
          </w:tcPr>
          <w:p>
            <w:pPr>
              <w:jc w:val="center"/>
            </w:pPr>
            <w:r>
              <w:t>药学</w:t>
            </w:r>
          </w:p>
        </w:tc>
        <w:tc>
          <w:tcPr>
            <w:tcW w:w="1785" w:type="dxa"/>
            <w:vAlign w:val="center"/>
          </w:tcPr>
          <w:p>
            <w:pPr>
              <w:jc w:val="center"/>
            </w:pPr>
            <w:r>
              <w:t>121</w:t>
            </w:r>
          </w:p>
        </w:tc>
        <w:tc>
          <w:tcPr>
            <w:tcW w:w="1364" w:type="dxa"/>
            <w:vAlign w:val="center"/>
          </w:tcPr>
          <w:p>
            <w:pPr>
              <w:jc w:val="center"/>
            </w:pPr>
            <w:r>
              <w:t>121</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101003</w:t>
            </w:r>
          </w:p>
        </w:tc>
        <w:tc>
          <w:tcPr>
            <w:tcW w:w="2056" w:type="dxa"/>
            <w:vAlign w:val="center"/>
          </w:tcPr>
          <w:p>
            <w:pPr>
              <w:jc w:val="center"/>
            </w:pPr>
            <w:r>
              <w:t>医学影像技术</w:t>
            </w:r>
          </w:p>
        </w:tc>
        <w:tc>
          <w:tcPr>
            <w:tcW w:w="1785" w:type="dxa"/>
            <w:vAlign w:val="center"/>
          </w:tcPr>
          <w:p>
            <w:pPr>
              <w:jc w:val="center"/>
            </w:pPr>
            <w:r>
              <w:t>215</w:t>
            </w:r>
          </w:p>
        </w:tc>
        <w:tc>
          <w:tcPr>
            <w:tcW w:w="1364" w:type="dxa"/>
            <w:vAlign w:val="center"/>
          </w:tcPr>
          <w:p>
            <w:pPr>
              <w:jc w:val="center"/>
            </w:pPr>
            <w:r>
              <w:t>215</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101005</w:t>
            </w:r>
          </w:p>
        </w:tc>
        <w:tc>
          <w:tcPr>
            <w:tcW w:w="2056" w:type="dxa"/>
            <w:vAlign w:val="center"/>
          </w:tcPr>
          <w:p>
            <w:pPr>
              <w:jc w:val="center"/>
            </w:pPr>
            <w:r>
              <w:t>康复治疗学</w:t>
            </w:r>
          </w:p>
        </w:tc>
        <w:tc>
          <w:tcPr>
            <w:tcW w:w="1785" w:type="dxa"/>
            <w:vAlign w:val="center"/>
          </w:tcPr>
          <w:p>
            <w:pPr>
              <w:jc w:val="center"/>
            </w:pPr>
            <w:r>
              <w:t>91</w:t>
            </w:r>
          </w:p>
        </w:tc>
        <w:tc>
          <w:tcPr>
            <w:tcW w:w="1364" w:type="dxa"/>
            <w:vAlign w:val="center"/>
          </w:tcPr>
          <w:p>
            <w:pPr>
              <w:jc w:val="center"/>
            </w:pPr>
            <w:r>
              <w:t>91</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101101</w:t>
            </w:r>
          </w:p>
        </w:tc>
        <w:tc>
          <w:tcPr>
            <w:tcW w:w="2056" w:type="dxa"/>
            <w:vAlign w:val="center"/>
          </w:tcPr>
          <w:p>
            <w:pPr>
              <w:jc w:val="center"/>
            </w:pPr>
            <w:r>
              <w:t>护理学</w:t>
            </w:r>
          </w:p>
        </w:tc>
        <w:tc>
          <w:tcPr>
            <w:tcW w:w="1785" w:type="dxa"/>
            <w:vAlign w:val="center"/>
          </w:tcPr>
          <w:p>
            <w:pPr>
              <w:jc w:val="center"/>
            </w:pPr>
            <w:r>
              <w:t>247</w:t>
            </w:r>
          </w:p>
        </w:tc>
        <w:tc>
          <w:tcPr>
            <w:tcW w:w="1364" w:type="dxa"/>
            <w:vAlign w:val="center"/>
          </w:tcPr>
          <w:p>
            <w:pPr>
              <w:jc w:val="center"/>
            </w:pPr>
            <w:r>
              <w:t>247</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120401</w:t>
            </w:r>
          </w:p>
        </w:tc>
        <w:tc>
          <w:tcPr>
            <w:tcW w:w="2056" w:type="dxa"/>
            <w:vAlign w:val="center"/>
          </w:tcPr>
          <w:p>
            <w:pPr>
              <w:jc w:val="center"/>
            </w:pPr>
            <w:r>
              <w:t>公共事业管理</w:t>
            </w:r>
          </w:p>
        </w:tc>
        <w:tc>
          <w:tcPr>
            <w:tcW w:w="1785" w:type="dxa"/>
            <w:vAlign w:val="center"/>
          </w:tcPr>
          <w:p>
            <w:pPr>
              <w:jc w:val="center"/>
            </w:pPr>
            <w:r>
              <w:t>217</w:t>
            </w:r>
          </w:p>
        </w:tc>
        <w:tc>
          <w:tcPr>
            <w:tcW w:w="1364" w:type="dxa"/>
            <w:vAlign w:val="center"/>
          </w:tcPr>
          <w:p>
            <w:pPr>
              <w:jc w:val="center"/>
            </w:pPr>
            <w:r>
              <w:t>217</w:t>
            </w:r>
          </w:p>
        </w:tc>
        <w:tc>
          <w:tcPr>
            <w:tcW w:w="1242"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75" w:type="dxa"/>
            <w:vAlign w:val="center"/>
          </w:tcPr>
          <w:p>
            <w:pPr>
              <w:jc w:val="center"/>
            </w:pPr>
            <w:r>
              <w:t>全校整体</w:t>
            </w:r>
          </w:p>
        </w:tc>
        <w:tc>
          <w:tcPr>
            <w:tcW w:w="2056" w:type="dxa"/>
            <w:vAlign w:val="center"/>
          </w:tcPr>
          <w:p>
            <w:pPr>
              <w:jc w:val="center"/>
            </w:pPr>
            <w:r>
              <w:t>/</w:t>
            </w:r>
          </w:p>
        </w:tc>
        <w:tc>
          <w:tcPr>
            <w:tcW w:w="1785" w:type="dxa"/>
            <w:vAlign w:val="center"/>
          </w:tcPr>
          <w:p>
            <w:pPr>
              <w:jc w:val="center"/>
            </w:pPr>
            <w:r>
              <w:t>1227</w:t>
            </w:r>
          </w:p>
        </w:tc>
        <w:tc>
          <w:tcPr>
            <w:tcW w:w="1364" w:type="dxa"/>
            <w:vAlign w:val="center"/>
          </w:tcPr>
          <w:p>
            <w:pPr>
              <w:jc w:val="center"/>
            </w:pPr>
            <w:r>
              <w:t>1227</w:t>
            </w:r>
          </w:p>
        </w:tc>
        <w:tc>
          <w:tcPr>
            <w:tcW w:w="1242" w:type="dxa"/>
            <w:vAlign w:val="center"/>
          </w:tcPr>
          <w:p>
            <w:pPr>
              <w:jc w:val="center"/>
            </w:pPr>
            <w:r>
              <w:t>100.00</w:t>
            </w:r>
          </w:p>
        </w:tc>
      </w:tr>
    </w:tbl>
    <w:p>
      <w:pPr>
        <w:jc w:val="left"/>
      </w:pPr>
    </w:p>
    <w:p>
      <w:pPr>
        <w:jc w:val="left"/>
      </w:pPr>
      <w:r>
        <w:rPr>
          <w:rFonts w:hint="eastAsia" w:ascii="宋体" w:hAnsi="宋体"/>
          <w:sz w:val="24"/>
          <w:szCs w:val="24"/>
        </w:rPr>
        <w:t>21. 应届本科毕业生学位授予率</w:t>
      </w:r>
      <w:r>
        <w:rPr>
          <w:rFonts w:hint="eastAsia" w:ascii="宋体" w:hAnsi="宋体"/>
          <w:sz w:val="24"/>
          <w:szCs w:val="24"/>
          <w:u w:val="single"/>
        </w:rPr>
        <w:t>99.67</w:t>
      </w:r>
      <w:r>
        <w:rPr>
          <w:rFonts w:ascii="宋体" w:hAnsi="宋体"/>
          <w:sz w:val="24"/>
          <w:u w:val="single"/>
        </w:rPr>
        <w:t>%，</w:t>
      </w:r>
      <w:r>
        <w:rPr>
          <w:rFonts w:hint="eastAsia" w:ascii="宋体" w:hAnsi="宋体"/>
          <w:sz w:val="24"/>
          <w:szCs w:val="24"/>
          <w:u w:val="single"/>
        </w:rPr>
        <w:t>分专业本科生学位授予率见附表8。</w:t>
      </w:r>
    </w:p>
    <w:p>
      <w:pPr>
        <w:jc w:val="center"/>
      </w:pPr>
      <w:r>
        <w:rPr>
          <w:rFonts w:hint="eastAsia" w:ascii="宋体" w:hAnsi="宋体"/>
          <w:sz w:val="24"/>
          <w:szCs w:val="24"/>
        </w:rPr>
        <w:t>附表8  分专业本科生学位授予率</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6"/>
        <w:gridCol w:w="2390"/>
        <w:gridCol w:w="1420"/>
        <w:gridCol w:w="1575"/>
        <w:gridCol w:w="1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846" w:type="dxa"/>
            <w:vAlign w:val="center"/>
          </w:tcPr>
          <w:p>
            <w:pPr>
              <w:jc w:val="center"/>
            </w:pPr>
            <w:r>
              <w:rPr>
                <w:rFonts w:hint="eastAsia" w:ascii="宋体" w:hAnsi="宋体"/>
                <w:szCs w:val="21"/>
              </w:rPr>
              <w:t>专业代码</w:t>
            </w:r>
          </w:p>
        </w:tc>
        <w:tc>
          <w:tcPr>
            <w:tcW w:w="2390" w:type="dxa"/>
            <w:vAlign w:val="center"/>
          </w:tcPr>
          <w:p>
            <w:pPr>
              <w:jc w:val="center"/>
            </w:pPr>
            <w:r>
              <w:rPr>
                <w:rFonts w:hint="eastAsia" w:ascii="宋体" w:hAnsi="宋体"/>
                <w:szCs w:val="21"/>
              </w:rPr>
              <w:t>专业名称</w:t>
            </w:r>
          </w:p>
        </w:tc>
        <w:tc>
          <w:tcPr>
            <w:tcW w:w="1420" w:type="dxa"/>
            <w:vAlign w:val="center"/>
          </w:tcPr>
          <w:p>
            <w:pPr>
              <w:jc w:val="center"/>
            </w:pPr>
            <w:r>
              <w:rPr>
                <w:rFonts w:hint="eastAsia" w:ascii="宋体" w:hAnsi="宋体"/>
                <w:szCs w:val="21"/>
              </w:rPr>
              <w:t>毕业人数</w:t>
            </w:r>
          </w:p>
        </w:tc>
        <w:tc>
          <w:tcPr>
            <w:tcW w:w="1575" w:type="dxa"/>
            <w:vAlign w:val="center"/>
          </w:tcPr>
          <w:p>
            <w:pPr>
              <w:jc w:val="center"/>
            </w:pPr>
            <w:r>
              <w:rPr>
                <w:rFonts w:hint="eastAsia" w:ascii="宋体" w:hAnsi="宋体"/>
                <w:szCs w:val="21"/>
              </w:rPr>
              <w:t>获得学位人数</w:t>
            </w:r>
          </w:p>
        </w:tc>
        <w:tc>
          <w:tcPr>
            <w:tcW w:w="1291" w:type="dxa"/>
            <w:vAlign w:val="center"/>
          </w:tcPr>
          <w:p>
            <w:pPr>
              <w:jc w:val="center"/>
            </w:pPr>
            <w:r>
              <w:rPr>
                <w:rFonts w:hint="eastAsia" w:ascii="宋体" w:hAnsi="宋体"/>
                <w:szCs w:val="21"/>
              </w:rPr>
              <w:t>学位授予率（%）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082601</w:t>
            </w:r>
          </w:p>
        </w:tc>
        <w:tc>
          <w:tcPr>
            <w:tcW w:w="2390" w:type="dxa"/>
            <w:vAlign w:val="center"/>
          </w:tcPr>
          <w:p>
            <w:pPr>
              <w:jc w:val="center"/>
            </w:pPr>
            <w:r>
              <w:t>生物医学工程</w:t>
            </w:r>
          </w:p>
        </w:tc>
        <w:tc>
          <w:tcPr>
            <w:tcW w:w="1420" w:type="dxa"/>
            <w:vAlign w:val="center"/>
          </w:tcPr>
          <w:p>
            <w:pPr>
              <w:jc w:val="center"/>
            </w:pPr>
            <w:r>
              <w:t>25</w:t>
            </w:r>
          </w:p>
        </w:tc>
        <w:tc>
          <w:tcPr>
            <w:tcW w:w="1575" w:type="dxa"/>
            <w:vAlign w:val="center"/>
          </w:tcPr>
          <w:p>
            <w:pPr>
              <w:jc w:val="center"/>
            </w:pPr>
            <w:r>
              <w:t>22</w:t>
            </w:r>
          </w:p>
        </w:tc>
        <w:tc>
          <w:tcPr>
            <w:tcW w:w="1291" w:type="dxa"/>
            <w:vAlign w:val="center"/>
          </w:tcPr>
          <w:p>
            <w:pPr>
              <w:jc w:val="center"/>
            </w:pPr>
            <w:r>
              <w:t>88.00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100201K</w:t>
            </w:r>
          </w:p>
        </w:tc>
        <w:tc>
          <w:tcPr>
            <w:tcW w:w="2390" w:type="dxa"/>
            <w:vAlign w:val="center"/>
          </w:tcPr>
          <w:p>
            <w:pPr>
              <w:jc w:val="center"/>
            </w:pPr>
            <w:r>
              <w:t>临床医学</w:t>
            </w:r>
          </w:p>
        </w:tc>
        <w:tc>
          <w:tcPr>
            <w:tcW w:w="1420" w:type="dxa"/>
            <w:vAlign w:val="center"/>
          </w:tcPr>
          <w:p>
            <w:pPr>
              <w:jc w:val="center"/>
            </w:pPr>
            <w:r>
              <w:t>311</w:t>
            </w:r>
          </w:p>
        </w:tc>
        <w:tc>
          <w:tcPr>
            <w:tcW w:w="1575" w:type="dxa"/>
            <w:vAlign w:val="center"/>
          </w:tcPr>
          <w:p>
            <w:pPr>
              <w:jc w:val="center"/>
            </w:pPr>
            <w:r>
              <w:t>311</w:t>
            </w:r>
          </w:p>
        </w:tc>
        <w:tc>
          <w:tcPr>
            <w:tcW w:w="1291"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100701</w:t>
            </w:r>
          </w:p>
        </w:tc>
        <w:tc>
          <w:tcPr>
            <w:tcW w:w="2390" w:type="dxa"/>
            <w:vAlign w:val="center"/>
          </w:tcPr>
          <w:p>
            <w:pPr>
              <w:jc w:val="center"/>
            </w:pPr>
            <w:r>
              <w:t>药学</w:t>
            </w:r>
          </w:p>
        </w:tc>
        <w:tc>
          <w:tcPr>
            <w:tcW w:w="1420" w:type="dxa"/>
            <w:vAlign w:val="center"/>
          </w:tcPr>
          <w:p>
            <w:pPr>
              <w:jc w:val="center"/>
            </w:pPr>
            <w:r>
              <w:t>121</w:t>
            </w:r>
          </w:p>
        </w:tc>
        <w:tc>
          <w:tcPr>
            <w:tcW w:w="1575" w:type="dxa"/>
            <w:vAlign w:val="center"/>
          </w:tcPr>
          <w:p>
            <w:pPr>
              <w:jc w:val="center"/>
            </w:pPr>
            <w:r>
              <w:t>121</w:t>
            </w:r>
          </w:p>
        </w:tc>
        <w:tc>
          <w:tcPr>
            <w:tcW w:w="1291"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101003</w:t>
            </w:r>
          </w:p>
        </w:tc>
        <w:tc>
          <w:tcPr>
            <w:tcW w:w="2390" w:type="dxa"/>
            <w:vAlign w:val="center"/>
          </w:tcPr>
          <w:p>
            <w:pPr>
              <w:jc w:val="center"/>
            </w:pPr>
            <w:r>
              <w:t>医学影像技术</w:t>
            </w:r>
          </w:p>
        </w:tc>
        <w:tc>
          <w:tcPr>
            <w:tcW w:w="1420" w:type="dxa"/>
            <w:vAlign w:val="center"/>
          </w:tcPr>
          <w:p>
            <w:pPr>
              <w:jc w:val="center"/>
            </w:pPr>
            <w:r>
              <w:t>215</w:t>
            </w:r>
          </w:p>
        </w:tc>
        <w:tc>
          <w:tcPr>
            <w:tcW w:w="1575" w:type="dxa"/>
            <w:vAlign w:val="center"/>
          </w:tcPr>
          <w:p>
            <w:pPr>
              <w:jc w:val="center"/>
            </w:pPr>
            <w:r>
              <w:t>215</w:t>
            </w:r>
          </w:p>
        </w:tc>
        <w:tc>
          <w:tcPr>
            <w:tcW w:w="1291"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101005</w:t>
            </w:r>
          </w:p>
        </w:tc>
        <w:tc>
          <w:tcPr>
            <w:tcW w:w="2390" w:type="dxa"/>
            <w:vAlign w:val="center"/>
          </w:tcPr>
          <w:p>
            <w:pPr>
              <w:jc w:val="center"/>
            </w:pPr>
            <w:r>
              <w:t>康复治疗学</w:t>
            </w:r>
          </w:p>
        </w:tc>
        <w:tc>
          <w:tcPr>
            <w:tcW w:w="1420" w:type="dxa"/>
            <w:vAlign w:val="center"/>
          </w:tcPr>
          <w:p>
            <w:pPr>
              <w:jc w:val="center"/>
            </w:pPr>
            <w:r>
              <w:t>91</w:t>
            </w:r>
          </w:p>
        </w:tc>
        <w:tc>
          <w:tcPr>
            <w:tcW w:w="1575" w:type="dxa"/>
            <w:vAlign w:val="center"/>
          </w:tcPr>
          <w:p>
            <w:pPr>
              <w:jc w:val="center"/>
            </w:pPr>
            <w:r>
              <w:t>91</w:t>
            </w:r>
          </w:p>
        </w:tc>
        <w:tc>
          <w:tcPr>
            <w:tcW w:w="1291"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101101</w:t>
            </w:r>
          </w:p>
        </w:tc>
        <w:tc>
          <w:tcPr>
            <w:tcW w:w="2390" w:type="dxa"/>
            <w:vAlign w:val="center"/>
          </w:tcPr>
          <w:p>
            <w:pPr>
              <w:jc w:val="center"/>
            </w:pPr>
            <w:r>
              <w:t>护理学</w:t>
            </w:r>
          </w:p>
        </w:tc>
        <w:tc>
          <w:tcPr>
            <w:tcW w:w="1420" w:type="dxa"/>
            <w:vAlign w:val="center"/>
          </w:tcPr>
          <w:p>
            <w:pPr>
              <w:jc w:val="center"/>
            </w:pPr>
            <w:r>
              <w:t>247</w:t>
            </w:r>
          </w:p>
        </w:tc>
        <w:tc>
          <w:tcPr>
            <w:tcW w:w="1575" w:type="dxa"/>
            <w:vAlign w:val="center"/>
          </w:tcPr>
          <w:p>
            <w:pPr>
              <w:jc w:val="center"/>
            </w:pPr>
            <w:r>
              <w:t>246</w:t>
            </w:r>
          </w:p>
        </w:tc>
        <w:tc>
          <w:tcPr>
            <w:tcW w:w="1291" w:type="dxa"/>
            <w:vAlign w:val="center"/>
          </w:tcPr>
          <w:p>
            <w:pPr>
              <w:jc w:val="center"/>
            </w:pPr>
            <w:r>
              <w:t>99.60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120401</w:t>
            </w:r>
          </w:p>
        </w:tc>
        <w:tc>
          <w:tcPr>
            <w:tcW w:w="2390" w:type="dxa"/>
            <w:vAlign w:val="center"/>
          </w:tcPr>
          <w:p>
            <w:pPr>
              <w:jc w:val="center"/>
            </w:pPr>
            <w:r>
              <w:t>公共事业管理</w:t>
            </w:r>
          </w:p>
        </w:tc>
        <w:tc>
          <w:tcPr>
            <w:tcW w:w="1420" w:type="dxa"/>
            <w:vAlign w:val="center"/>
          </w:tcPr>
          <w:p>
            <w:pPr>
              <w:jc w:val="center"/>
            </w:pPr>
            <w:r>
              <w:t>217</w:t>
            </w:r>
          </w:p>
        </w:tc>
        <w:tc>
          <w:tcPr>
            <w:tcW w:w="1575" w:type="dxa"/>
            <w:vAlign w:val="center"/>
          </w:tcPr>
          <w:p>
            <w:pPr>
              <w:jc w:val="center"/>
            </w:pPr>
            <w:r>
              <w:t>217</w:t>
            </w:r>
          </w:p>
        </w:tc>
        <w:tc>
          <w:tcPr>
            <w:tcW w:w="1291"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6" w:type="dxa"/>
            <w:vAlign w:val="center"/>
          </w:tcPr>
          <w:p>
            <w:pPr>
              <w:jc w:val="center"/>
            </w:pPr>
            <w:r>
              <w:t>全校整体</w:t>
            </w:r>
          </w:p>
        </w:tc>
        <w:tc>
          <w:tcPr>
            <w:tcW w:w="2390" w:type="dxa"/>
            <w:vAlign w:val="center"/>
          </w:tcPr>
          <w:p>
            <w:pPr>
              <w:jc w:val="center"/>
            </w:pPr>
            <w:r>
              <w:t>/</w:t>
            </w:r>
          </w:p>
        </w:tc>
        <w:tc>
          <w:tcPr>
            <w:tcW w:w="1420" w:type="dxa"/>
            <w:vAlign w:val="center"/>
          </w:tcPr>
          <w:p>
            <w:pPr>
              <w:jc w:val="center"/>
            </w:pPr>
            <w:r>
              <w:t>1227</w:t>
            </w:r>
          </w:p>
        </w:tc>
        <w:tc>
          <w:tcPr>
            <w:tcW w:w="1575" w:type="dxa"/>
            <w:vAlign w:val="center"/>
          </w:tcPr>
          <w:p>
            <w:pPr>
              <w:jc w:val="center"/>
            </w:pPr>
            <w:r>
              <w:t>1223</w:t>
            </w:r>
          </w:p>
        </w:tc>
        <w:tc>
          <w:tcPr>
            <w:tcW w:w="1291" w:type="dxa"/>
            <w:vAlign w:val="center"/>
          </w:tcPr>
          <w:p>
            <w:pPr>
              <w:jc w:val="center"/>
            </w:pPr>
            <w:r>
              <w:t>99.67</w:t>
            </w:r>
          </w:p>
        </w:tc>
      </w:tr>
    </w:tbl>
    <w:p>
      <w:pPr>
        <w:jc w:val="left"/>
      </w:pPr>
    </w:p>
    <w:p>
      <w:pPr>
        <w:jc w:val="left"/>
      </w:pPr>
      <w:r>
        <w:rPr>
          <w:rFonts w:hint="eastAsia" w:ascii="宋体" w:hAnsi="宋体"/>
          <w:sz w:val="24"/>
          <w:szCs w:val="24"/>
        </w:rPr>
        <w:t>22. 应届本科毕业生初次就业率</w:t>
      </w:r>
      <w:r>
        <w:rPr>
          <w:rFonts w:hint="eastAsia" w:ascii="宋体" w:hAnsi="宋体"/>
          <w:sz w:val="24"/>
          <w:szCs w:val="24"/>
          <w:u w:val="single"/>
        </w:rPr>
        <w:t>90.95</w:t>
      </w:r>
      <w:r>
        <w:rPr>
          <w:rFonts w:ascii="宋体" w:hAnsi="宋体"/>
          <w:sz w:val="24"/>
          <w:u w:val="single"/>
        </w:rPr>
        <w:t>%</w:t>
      </w:r>
      <w:r>
        <w:rPr>
          <w:rFonts w:hint="eastAsia" w:ascii="宋体" w:hAnsi="宋体"/>
          <w:sz w:val="24"/>
          <w:szCs w:val="24"/>
          <w:u w:val="single"/>
        </w:rPr>
        <w:t>，分专业毕业生就业率见附表9</w:t>
      </w:r>
    </w:p>
    <w:p>
      <w:pPr>
        <w:jc w:val="center"/>
      </w:pPr>
      <w:r>
        <w:rPr>
          <w:rFonts w:hint="eastAsia" w:ascii="宋体" w:hAnsi="宋体"/>
          <w:sz w:val="24"/>
          <w:szCs w:val="24"/>
        </w:rPr>
        <w:t>附表9 分专业毕业生去向落实率</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2418"/>
        <w:gridCol w:w="1365"/>
        <w:gridCol w:w="1583"/>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blHeader/>
          <w:jc w:val="center"/>
        </w:trPr>
        <w:tc>
          <w:tcPr>
            <w:tcW w:w="1843" w:type="dxa"/>
            <w:vAlign w:val="center"/>
          </w:tcPr>
          <w:p>
            <w:pPr>
              <w:jc w:val="center"/>
            </w:pPr>
            <w:r>
              <w:rPr>
                <w:rFonts w:hint="eastAsia" w:ascii="宋体" w:hAnsi="宋体"/>
                <w:szCs w:val="21"/>
              </w:rPr>
              <w:t>专业代码</w:t>
            </w:r>
          </w:p>
        </w:tc>
        <w:tc>
          <w:tcPr>
            <w:tcW w:w="2418" w:type="dxa"/>
            <w:vAlign w:val="center"/>
          </w:tcPr>
          <w:p>
            <w:pPr>
              <w:jc w:val="center"/>
            </w:pPr>
            <w:r>
              <w:rPr>
                <w:rFonts w:hint="eastAsia" w:ascii="宋体" w:hAnsi="宋体"/>
                <w:szCs w:val="21"/>
              </w:rPr>
              <w:t>专业名称</w:t>
            </w:r>
          </w:p>
        </w:tc>
        <w:tc>
          <w:tcPr>
            <w:tcW w:w="1365" w:type="dxa"/>
            <w:vAlign w:val="center"/>
          </w:tcPr>
          <w:p>
            <w:pPr>
              <w:jc w:val="center"/>
              <w:rPr>
                <w:rFonts w:ascii="宋体" w:hAnsi="宋体"/>
                <w:szCs w:val="21"/>
              </w:rPr>
            </w:pPr>
            <w:r>
              <w:rPr>
                <w:rFonts w:hint="eastAsia" w:ascii="宋体" w:hAnsi="宋体"/>
                <w:szCs w:val="21"/>
              </w:rPr>
              <w:t>毕业人数</w:t>
            </w:r>
          </w:p>
        </w:tc>
        <w:tc>
          <w:tcPr>
            <w:tcW w:w="1583" w:type="dxa"/>
            <w:vAlign w:val="center"/>
          </w:tcPr>
          <w:p>
            <w:pPr>
              <w:jc w:val="center"/>
              <w:rPr>
                <w:rFonts w:ascii="宋体" w:hAnsi="宋体"/>
                <w:szCs w:val="21"/>
              </w:rPr>
            </w:pPr>
            <w:r>
              <w:rPr>
                <w:rFonts w:hint="eastAsia" w:ascii="宋体" w:hAnsi="宋体"/>
                <w:szCs w:val="21"/>
              </w:rPr>
              <w:t>去向落实人数</w:t>
            </w:r>
          </w:p>
        </w:tc>
        <w:tc>
          <w:tcPr>
            <w:tcW w:w="1313" w:type="dxa"/>
            <w:vAlign w:val="center"/>
          </w:tcPr>
          <w:p>
            <w:pPr>
              <w:jc w:val="center"/>
            </w:pPr>
            <w:r>
              <w:rPr>
                <w:rFonts w:hint="eastAsia" w:ascii="宋体" w:hAnsi="宋体"/>
                <w:szCs w:val="21"/>
              </w:rPr>
              <w:t>去向落实率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082601</w:t>
            </w:r>
          </w:p>
        </w:tc>
        <w:tc>
          <w:tcPr>
            <w:tcW w:w="2418" w:type="dxa"/>
            <w:vAlign w:val="center"/>
          </w:tcPr>
          <w:p>
            <w:pPr>
              <w:jc w:val="center"/>
            </w:pPr>
            <w:r>
              <w:t>生物医学工程</w:t>
            </w:r>
          </w:p>
        </w:tc>
        <w:tc>
          <w:tcPr>
            <w:tcW w:w="1365" w:type="dxa"/>
            <w:vAlign w:val="center"/>
          </w:tcPr>
          <w:p>
            <w:pPr>
              <w:jc w:val="center"/>
            </w:pPr>
            <w:r>
              <w:t>25</w:t>
            </w:r>
          </w:p>
        </w:tc>
        <w:tc>
          <w:tcPr>
            <w:tcW w:w="1583" w:type="dxa"/>
            <w:vAlign w:val="center"/>
          </w:tcPr>
          <w:p>
            <w:pPr>
              <w:jc w:val="center"/>
            </w:pPr>
            <w:r>
              <w:t>24</w:t>
            </w:r>
          </w:p>
        </w:tc>
        <w:tc>
          <w:tcPr>
            <w:tcW w:w="1313" w:type="dxa"/>
            <w:vAlign w:val="center"/>
          </w:tcPr>
          <w:p>
            <w:pPr>
              <w:jc w:val="center"/>
            </w:pPr>
            <w:r>
              <w:t>96.00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100201K</w:t>
            </w:r>
          </w:p>
        </w:tc>
        <w:tc>
          <w:tcPr>
            <w:tcW w:w="2418" w:type="dxa"/>
            <w:vAlign w:val="center"/>
          </w:tcPr>
          <w:p>
            <w:pPr>
              <w:jc w:val="center"/>
            </w:pPr>
            <w:r>
              <w:t>临床医学</w:t>
            </w:r>
          </w:p>
        </w:tc>
        <w:tc>
          <w:tcPr>
            <w:tcW w:w="1365" w:type="dxa"/>
            <w:vAlign w:val="center"/>
          </w:tcPr>
          <w:p>
            <w:pPr>
              <w:jc w:val="center"/>
            </w:pPr>
            <w:r>
              <w:t>311</w:t>
            </w:r>
          </w:p>
        </w:tc>
        <w:tc>
          <w:tcPr>
            <w:tcW w:w="1583" w:type="dxa"/>
            <w:vAlign w:val="center"/>
          </w:tcPr>
          <w:p>
            <w:pPr>
              <w:jc w:val="center"/>
            </w:pPr>
            <w:r>
              <w:t>261</w:t>
            </w:r>
          </w:p>
        </w:tc>
        <w:tc>
          <w:tcPr>
            <w:tcW w:w="1313" w:type="dxa"/>
            <w:vAlign w:val="center"/>
          </w:tcPr>
          <w:p>
            <w:pPr>
              <w:jc w:val="center"/>
            </w:pPr>
            <w:r>
              <w:t>83.92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100701</w:t>
            </w:r>
          </w:p>
        </w:tc>
        <w:tc>
          <w:tcPr>
            <w:tcW w:w="2418" w:type="dxa"/>
            <w:vAlign w:val="center"/>
          </w:tcPr>
          <w:p>
            <w:pPr>
              <w:jc w:val="center"/>
            </w:pPr>
            <w:r>
              <w:t>药学</w:t>
            </w:r>
          </w:p>
        </w:tc>
        <w:tc>
          <w:tcPr>
            <w:tcW w:w="1365" w:type="dxa"/>
            <w:vAlign w:val="center"/>
          </w:tcPr>
          <w:p>
            <w:pPr>
              <w:jc w:val="center"/>
            </w:pPr>
            <w:r>
              <w:t>121</w:t>
            </w:r>
          </w:p>
        </w:tc>
        <w:tc>
          <w:tcPr>
            <w:tcW w:w="1583" w:type="dxa"/>
            <w:vAlign w:val="center"/>
          </w:tcPr>
          <w:p>
            <w:pPr>
              <w:jc w:val="center"/>
            </w:pPr>
            <w:r>
              <w:t>114</w:t>
            </w:r>
          </w:p>
        </w:tc>
        <w:tc>
          <w:tcPr>
            <w:tcW w:w="1313" w:type="dxa"/>
            <w:vAlign w:val="center"/>
          </w:tcPr>
          <w:p>
            <w:pPr>
              <w:jc w:val="center"/>
            </w:pPr>
            <w:r>
              <w:t>94.21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101003</w:t>
            </w:r>
          </w:p>
        </w:tc>
        <w:tc>
          <w:tcPr>
            <w:tcW w:w="2418" w:type="dxa"/>
            <w:vAlign w:val="center"/>
          </w:tcPr>
          <w:p>
            <w:pPr>
              <w:jc w:val="center"/>
            </w:pPr>
            <w:r>
              <w:t>医学影像技术</w:t>
            </w:r>
          </w:p>
        </w:tc>
        <w:tc>
          <w:tcPr>
            <w:tcW w:w="1365" w:type="dxa"/>
            <w:vAlign w:val="center"/>
          </w:tcPr>
          <w:p>
            <w:pPr>
              <w:jc w:val="center"/>
            </w:pPr>
            <w:r>
              <w:t>215</w:t>
            </w:r>
          </w:p>
        </w:tc>
        <w:tc>
          <w:tcPr>
            <w:tcW w:w="1583" w:type="dxa"/>
            <w:vAlign w:val="center"/>
          </w:tcPr>
          <w:p>
            <w:pPr>
              <w:jc w:val="center"/>
            </w:pPr>
            <w:r>
              <w:t>200</w:t>
            </w:r>
          </w:p>
        </w:tc>
        <w:tc>
          <w:tcPr>
            <w:tcW w:w="1313" w:type="dxa"/>
            <w:vAlign w:val="center"/>
          </w:tcPr>
          <w:p>
            <w:pPr>
              <w:jc w:val="center"/>
            </w:pPr>
            <w:r>
              <w:t>93.02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101005</w:t>
            </w:r>
          </w:p>
        </w:tc>
        <w:tc>
          <w:tcPr>
            <w:tcW w:w="2418" w:type="dxa"/>
            <w:vAlign w:val="center"/>
          </w:tcPr>
          <w:p>
            <w:pPr>
              <w:jc w:val="center"/>
            </w:pPr>
            <w:r>
              <w:t>康复治疗学</w:t>
            </w:r>
          </w:p>
        </w:tc>
        <w:tc>
          <w:tcPr>
            <w:tcW w:w="1365" w:type="dxa"/>
            <w:vAlign w:val="center"/>
          </w:tcPr>
          <w:p>
            <w:pPr>
              <w:jc w:val="center"/>
            </w:pPr>
            <w:r>
              <w:t>91</w:t>
            </w:r>
          </w:p>
        </w:tc>
        <w:tc>
          <w:tcPr>
            <w:tcW w:w="1583" w:type="dxa"/>
            <w:vAlign w:val="center"/>
          </w:tcPr>
          <w:p>
            <w:pPr>
              <w:jc w:val="center"/>
            </w:pPr>
            <w:r>
              <w:t>78</w:t>
            </w:r>
          </w:p>
        </w:tc>
        <w:tc>
          <w:tcPr>
            <w:tcW w:w="1313" w:type="dxa"/>
            <w:vAlign w:val="center"/>
          </w:tcPr>
          <w:p>
            <w:pPr>
              <w:jc w:val="center"/>
            </w:pPr>
            <w:r>
              <w:t>85.71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101101</w:t>
            </w:r>
          </w:p>
        </w:tc>
        <w:tc>
          <w:tcPr>
            <w:tcW w:w="2418" w:type="dxa"/>
            <w:vAlign w:val="center"/>
          </w:tcPr>
          <w:p>
            <w:pPr>
              <w:jc w:val="center"/>
            </w:pPr>
            <w:r>
              <w:t>护理学</w:t>
            </w:r>
          </w:p>
        </w:tc>
        <w:tc>
          <w:tcPr>
            <w:tcW w:w="1365" w:type="dxa"/>
            <w:vAlign w:val="center"/>
          </w:tcPr>
          <w:p>
            <w:pPr>
              <w:jc w:val="center"/>
            </w:pPr>
            <w:r>
              <w:t>247</w:t>
            </w:r>
          </w:p>
        </w:tc>
        <w:tc>
          <w:tcPr>
            <w:tcW w:w="1583" w:type="dxa"/>
            <w:vAlign w:val="center"/>
          </w:tcPr>
          <w:p>
            <w:pPr>
              <w:jc w:val="center"/>
            </w:pPr>
            <w:r>
              <w:t>232</w:t>
            </w:r>
          </w:p>
        </w:tc>
        <w:tc>
          <w:tcPr>
            <w:tcW w:w="1313" w:type="dxa"/>
            <w:vAlign w:val="center"/>
          </w:tcPr>
          <w:p>
            <w:pPr>
              <w:jc w:val="center"/>
            </w:pPr>
            <w:r>
              <w:t>93.93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120401</w:t>
            </w:r>
          </w:p>
        </w:tc>
        <w:tc>
          <w:tcPr>
            <w:tcW w:w="2418" w:type="dxa"/>
            <w:vAlign w:val="center"/>
          </w:tcPr>
          <w:p>
            <w:pPr>
              <w:jc w:val="center"/>
            </w:pPr>
            <w:r>
              <w:t>公共事业管理</w:t>
            </w:r>
          </w:p>
        </w:tc>
        <w:tc>
          <w:tcPr>
            <w:tcW w:w="1365" w:type="dxa"/>
            <w:vAlign w:val="center"/>
          </w:tcPr>
          <w:p>
            <w:pPr>
              <w:jc w:val="center"/>
            </w:pPr>
            <w:r>
              <w:t>217</w:t>
            </w:r>
          </w:p>
        </w:tc>
        <w:tc>
          <w:tcPr>
            <w:tcW w:w="1583" w:type="dxa"/>
            <w:vAlign w:val="center"/>
          </w:tcPr>
          <w:p>
            <w:pPr>
              <w:jc w:val="center"/>
            </w:pPr>
            <w:r>
              <w:t>207</w:t>
            </w:r>
          </w:p>
        </w:tc>
        <w:tc>
          <w:tcPr>
            <w:tcW w:w="1313" w:type="dxa"/>
            <w:vAlign w:val="center"/>
          </w:tcPr>
          <w:p>
            <w:pPr>
              <w:jc w:val="center"/>
            </w:pPr>
            <w:r>
              <w:t>95.39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43" w:type="dxa"/>
            <w:vAlign w:val="center"/>
          </w:tcPr>
          <w:p>
            <w:pPr>
              <w:jc w:val="center"/>
            </w:pPr>
            <w:r>
              <w:t>全校整体</w:t>
            </w:r>
          </w:p>
        </w:tc>
        <w:tc>
          <w:tcPr>
            <w:tcW w:w="2418" w:type="dxa"/>
            <w:vAlign w:val="center"/>
          </w:tcPr>
          <w:p>
            <w:pPr>
              <w:jc w:val="center"/>
            </w:pPr>
            <w:r>
              <w:t>/</w:t>
            </w:r>
          </w:p>
        </w:tc>
        <w:tc>
          <w:tcPr>
            <w:tcW w:w="1365" w:type="dxa"/>
            <w:vAlign w:val="center"/>
          </w:tcPr>
          <w:p>
            <w:pPr>
              <w:jc w:val="center"/>
            </w:pPr>
            <w:r>
              <w:t>1227</w:t>
            </w:r>
          </w:p>
        </w:tc>
        <w:tc>
          <w:tcPr>
            <w:tcW w:w="1583" w:type="dxa"/>
            <w:vAlign w:val="center"/>
          </w:tcPr>
          <w:p>
            <w:pPr>
              <w:jc w:val="center"/>
            </w:pPr>
            <w:r>
              <w:t>1116</w:t>
            </w:r>
          </w:p>
        </w:tc>
        <w:tc>
          <w:tcPr>
            <w:tcW w:w="1313" w:type="dxa"/>
            <w:vAlign w:val="center"/>
          </w:tcPr>
          <w:p>
            <w:pPr>
              <w:jc w:val="center"/>
            </w:pPr>
            <w:r>
              <w:t>90.95</w:t>
            </w:r>
          </w:p>
        </w:tc>
      </w:tr>
    </w:tbl>
    <w:p>
      <w:pPr>
        <w:jc w:val="left"/>
      </w:pPr>
    </w:p>
    <w:p>
      <w:pPr>
        <w:jc w:val="left"/>
      </w:pPr>
      <w:r>
        <w:rPr>
          <w:rFonts w:hint="eastAsia" w:ascii="宋体" w:hAnsi="宋体"/>
          <w:sz w:val="24"/>
          <w:szCs w:val="24"/>
        </w:rPr>
        <w:t>23. 体质测试达标率</w:t>
      </w:r>
      <w:r>
        <w:rPr>
          <w:rFonts w:hint="eastAsia" w:ascii="宋体" w:hAnsi="宋体"/>
          <w:sz w:val="24"/>
          <w:szCs w:val="24"/>
          <w:u w:val="single"/>
        </w:rPr>
        <w:t>94.02</w:t>
      </w:r>
      <w:r>
        <w:rPr>
          <w:rFonts w:ascii="宋体" w:hAnsi="宋体"/>
          <w:sz w:val="24"/>
          <w:u w:val="single"/>
        </w:rPr>
        <w:t>%</w:t>
      </w:r>
      <w:r>
        <w:rPr>
          <w:rFonts w:hint="eastAsia" w:ascii="宋体" w:hAnsi="宋体"/>
          <w:sz w:val="24"/>
          <w:szCs w:val="24"/>
          <w:u w:val="single"/>
        </w:rPr>
        <w:t>，分专业体质测试合格率见附表10。</w:t>
      </w:r>
    </w:p>
    <w:p>
      <w:pPr>
        <w:jc w:val="center"/>
      </w:pPr>
      <w:r>
        <w:rPr>
          <w:rFonts w:hint="eastAsia" w:ascii="宋体" w:hAnsi="宋体"/>
          <w:sz w:val="24"/>
          <w:szCs w:val="24"/>
        </w:rPr>
        <w:t>附表10  分专业体质测试合格率</w:t>
      </w:r>
    </w:p>
    <w:tbl>
      <w:tblPr>
        <w:tblStyle w:val="2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1"/>
        <w:gridCol w:w="2376"/>
        <w:gridCol w:w="1504"/>
        <w:gridCol w:w="1504"/>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blHeader/>
          <w:jc w:val="center"/>
        </w:trPr>
        <w:tc>
          <w:tcPr>
            <w:tcW w:w="1741" w:type="dxa"/>
            <w:vAlign w:val="center"/>
          </w:tcPr>
          <w:p>
            <w:pPr>
              <w:jc w:val="center"/>
            </w:pPr>
            <w:r>
              <w:rPr>
                <w:rFonts w:hint="eastAsia" w:ascii="宋体" w:hAnsi="宋体"/>
                <w:szCs w:val="21"/>
              </w:rPr>
              <w:t>专业代码</w:t>
            </w:r>
          </w:p>
        </w:tc>
        <w:tc>
          <w:tcPr>
            <w:tcW w:w="2376" w:type="dxa"/>
            <w:vAlign w:val="center"/>
          </w:tcPr>
          <w:p>
            <w:pPr>
              <w:jc w:val="center"/>
            </w:pPr>
            <w:r>
              <w:rPr>
                <w:rFonts w:hint="eastAsia" w:ascii="宋体" w:hAnsi="宋体"/>
                <w:szCs w:val="21"/>
              </w:rPr>
              <w:t>专业名称</w:t>
            </w:r>
          </w:p>
        </w:tc>
        <w:tc>
          <w:tcPr>
            <w:tcW w:w="1504" w:type="dxa"/>
            <w:vAlign w:val="center"/>
          </w:tcPr>
          <w:p>
            <w:pPr>
              <w:jc w:val="center"/>
            </w:pPr>
            <w:r>
              <w:rPr>
                <w:rFonts w:hint="eastAsia" w:ascii="宋体" w:hAnsi="宋体"/>
                <w:szCs w:val="21"/>
              </w:rPr>
              <w:t>参与测试人数</w:t>
            </w:r>
          </w:p>
        </w:tc>
        <w:tc>
          <w:tcPr>
            <w:tcW w:w="1504" w:type="dxa"/>
            <w:vAlign w:val="center"/>
          </w:tcPr>
          <w:p>
            <w:pPr>
              <w:jc w:val="center"/>
            </w:pPr>
            <w:r>
              <w:rPr>
                <w:rFonts w:hint="eastAsia" w:ascii="宋体" w:hAnsi="宋体"/>
                <w:szCs w:val="21"/>
              </w:rPr>
              <w:t>测试合格人数</w:t>
            </w:r>
          </w:p>
        </w:tc>
        <w:tc>
          <w:tcPr>
            <w:tcW w:w="1397" w:type="dxa"/>
            <w:vAlign w:val="center"/>
          </w:tcPr>
          <w:p>
            <w:pPr>
              <w:jc w:val="center"/>
            </w:pPr>
            <w:r>
              <w:rPr>
                <w:rFonts w:hint="eastAsia" w:ascii="宋体" w:hAnsi="宋体"/>
                <w:szCs w:val="21"/>
              </w:rPr>
              <w:t>合格率（%）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082601</w:t>
            </w:r>
          </w:p>
        </w:tc>
        <w:tc>
          <w:tcPr>
            <w:tcW w:w="2376" w:type="dxa"/>
            <w:vAlign w:val="center"/>
          </w:tcPr>
          <w:p>
            <w:pPr>
              <w:jc w:val="center"/>
            </w:pPr>
            <w:r>
              <w:t>生物医学工程</w:t>
            </w:r>
          </w:p>
        </w:tc>
        <w:tc>
          <w:tcPr>
            <w:tcW w:w="1504" w:type="dxa"/>
            <w:vAlign w:val="center"/>
          </w:tcPr>
          <w:p>
            <w:pPr>
              <w:jc w:val="center"/>
            </w:pPr>
            <w:r>
              <w:t>85</w:t>
            </w:r>
          </w:p>
        </w:tc>
        <w:tc>
          <w:tcPr>
            <w:tcW w:w="1504" w:type="dxa"/>
            <w:vAlign w:val="center"/>
          </w:tcPr>
          <w:p>
            <w:pPr>
              <w:jc w:val="center"/>
            </w:pPr>
            <w:r>
              <w:t>81</w:t>
            </w:r>
          </w:p>
        </w:tc>
        <w:tc>
          <w:tcPr>
            <w:tcW w:w="1397" w:type="dxa"/>
            <w:vAlign w:val="center"/>
          </w:tcPr>
          <w:p>
            <w:pPr>
              <w:jc w:val="center"/>
            </w:pPr>
            <w:r>
              <w:t>95.29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083002T</w:t>
            </w:r>
          </w:p>
        </w:tc>
        <w:tc>
          <w:tcPr>
            <w:tcW w:w="2376" w:type="dxa"/>
            <w:vAlign w:val="center"/>
          </w:tcPr>
          <w:p>
            <w:pPr>
              <w:jc w:val="center"/>
            </w:pPr>
            <w:r>
              <w:t>生物制药</w:t>
            </w:r>
          </w:p>
        </w:tc>
        <w:tc>
          <w:tcPr>
            <w:tcW w:w="1504" w:type="dxa"/>
            <w:vAlign w:val="center"/>
          </w:tcPr>
          <w:p>
            <w:pPr>
              <w:jc w:val="center"/>
            </w:pPr>
            <w:r>
              <w:t>0</w:t>
            </w:r>
          </w:p>
        </w:tc>
        <w:tc>
          <w:tcPr>
            <w:tcW w:w="1504" w:type="dxa"/>
            <w:vAlign w:val="center"/>
          </w:tcPr>
          <w:p>
            <w:pPr>
              <w:jc w:val="center"/>
            </w:pPr>
            <w:r>
              <w:t>0</w:t>
            </w:r>
          </w:p>
        </w:tc>
        <w:tc>
          <w:tcPr>
            <w:tcW w:w="1397" w:type="dxa"/>
            <w:vAlign w:val="center"/>
          </w:tcPr>
          <w:p>
            <w:pPr>
              <w:jc w:val="center"/>
            </w:pPr>
            <w: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100201K</w:t>
            </w:r>
          </w:p>
        </w:tc>
        <w:tc>
          <w:tcPr>
            <w:tcW w:w="2376" w:type="dxa"/>
            <w:vAlign w:val="center"/>
          </w:tcPr>
          <w:p>
            <w:pPr>
              <w:jc w:val="center"/>
            </w:pPr>
            <w:r>
              <w:t>临床医学</w:t>
            </w:r>
          </w:p>
        </w:tc>
        <w:tc>
          <w:tcPr>
            <w:tcW w:w="1504" w:type="dxa"/>
            <w:vAlign w:val="center"/>
          </w:tcPr>
          <w:p>
            <w:pPr>
              <w:jc w:val="center"/>
            </w:pPr>
            <w:r>
              <w:t>2039</w:t>
            </w:r>
          </w:p>
        </w:tc>
        <w:tc>
          <w:tcPr>
            <w:tcW w:w="1504" w:type="dxa"/>
            <w:vAlign w:val="center"/>
          </w:tcPr>
          <w:p>
            <w:pPr>
              <w:jc w:val="center"/>
            </w:pPr>
            <w:r>
              <w:t>1922</w:t>
            </w:r>
          </w:p>
        </w:tc>
        <w:tc>
          <w:tcPr>
            <w:tcW w:w="1397" w:type="dxa"/>
            <w:vAlign w:val="center"/>
          </w:tcPr>
          <w:p>
            <w:pPr>
              <w:jc w:val="center"/>
            </w:pPr>
            <w:r>
              <w:t>94.26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100401K</w:t>
            </w:r>
          </w:p>
        </w:tc>
        <w:tc>
          <w:tcPr>
            <w:tcW w:w="2376" w:type="dxa"/>
            <w:vAlign w:val="center"/>
          </w:tcPr>
          <w:p>
            <w:pPr>
              <w:jc w:val="center"/>
            </w:pPr>
            <w:r>
              <w:t>预防医学</w:t>
            </w:r>
          </w:p>
        </w:tc>
        <w:tc>
          <w:tcPr>
            <w:tcW w:w="1504" w:type="dxa"/>
            <w:vAlign w:val="center"/>
          </w:tcPr>
          <w:p>
            <w:pPr>
              <w:jc w:val="center"/>
            </w:pPr>
            <w:r>
              <w:t>141</w:t>
            </w:r>
          </w:p>
        </w:tc>
        <w:tc>
          <w:tcPr>
            <w:tcW w:w="1504" w:type="dxa"/>
            <w:vAlign w:val="center"/>
          </w:tcPr>
          <w:p>
            <w:pPr>
              <w:jc w:val="center"/>
            </w:pPr>
            <w:r>
              <w:t>141</w:t>
            </w:r>
          </w:p>
        </w:tc>
        <w:tc>
          <w:tcPr>
            <w:tcW w:w="1397"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100701</w:t>
            </w:r>
          </w:p>
        </w:tc>
        <w:tc>
          <w:tcPr>
            <w:tcW w:w="2376" w:type="dxa"/>
            <w:vAlign w:val="center"/>
          </w:tcPr>
          <w:p>
            <w:pPr>
              <w:jc w:val="center"/>
            </w:pPr>
            <w:r>
              <w:t>药学</w:t>
            </w:r>
          </w:p>
        </w:tc>
        <w:tc>
          <w:tcPr>
            <w:tcW w:w="1504" w:type="dxa"/>
            <w:vAlign w:val="center"/>
          </w:tcPr>
          <w:p>
            <w:pPr>
              <w:jc w:val="center"/>
            </w:pPr>
            <w:r>
              <w:t>316</w:t>
            </w:r>
          </w:p>
        </w:tc>
        <w:tc>
          <w:tcPr>
            <w:tcW w:w="1504" w:type="dxa"/>
            <w:vAlign w:val="center"/>
          </w:tcPr>
          <w:p>
            <w:pPr>
              <w:jc w:val="center"/>
            </w:pPr>
            <w:r>
              <w:t>289</w:t>
            </w:r>
          </w:p>
        </w:tc>
        <w:tc>
          <w:tcPr>
            <w:tcW w:w="1397" w:type="dxa"/>
            <w:vAlign w:val="center"/>
          </w:tcPr>
          <w:p>
            <w:pPr>
              <w:jc w:val="center"/>
            </w:pPr>
            <w:r>
              <w:t>91.46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101001</w:t>
            </w:r>
          </w:p>
        </w:tc>
        <w:tc>
          <w:tcPr>
            <w:tcW w:w="2376" w:type="dxa"/>
            <w:vAlign w:val="center"/>
          </w:tcPr>
          <w:p>
            <w:pPr>
              <w:jc w:val="center"/>
            </w:pPr>
            <w:r>
              <w:t>医学检验技术</w:t>
            </w:r>
          </w:p>
        </w:tc>
        <w:tc>
          <w:tcPr>
            <w:tcW w:w="1504" w:type="dxa"/>
            <w:vAlign w:val="center"/>
          </w:tcPr>
          <w:p>
            <w:pPr>
              <w:jc w:val="center"/>
            </w:pPr>
            <w:r>
              <w:t>348</w:t>
            </w:r>
          </w:p>
        </w:tc>
        <w:tc>
          <w:tcPr>
            <w:tcW w:w="1504" w:type="dxa"/>
            <w:vAlign w:val="center"/>
          </w:tcPr>
          <w:p>
            <w:pPr>
              <w:jc w:val="center"/>
            </w:pPr>
            <w:r>
              <w:t>319</w:t>
            </w:r>
          </w:p>
        </w:tc>
        <w:tc>
          <w:tcPr>
            <w:tcW w:w="1397" w:type="dxa"/>
            <w:vAlign w:val="center"/>
          </w:tcPr>
          <w:p>
            <w:pPr>
              <w:jc w:val="center"/>
            </w:pPr>
            <w:r>
              <w:t>91.67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101003</w:t>
            </w:r>
          </w:p>
        </w:tc>
        <w:tc>
          <w:tcPr>
            <w:tcW w:w="2376" w:type="dxa"/>
            <w:vAlign w:val="center"/>
          </w:tcPr>
          <w:p>
            <w:pPr>
              <w:jc w:val="center"/>
            </w:pPr>
            <w:r>
              <w:t>医学影像技术</w:t>
            </w:r>
          </w:p>
        </w:tc>
        <w:tc>
          <w:tcPr>
            <w:tcW w:w="1504" w:type="dxa"/>
            <w:vAlign w:val="center"/>
          </w:tcPr>
          <w:p>
            <w:pPr>
              <w:jc w:val="center"/>
            </w:pPr>
            <w:r>
              <w:t>421</w:t>
            </w:r>
          </w:p>
        </w:tc>
        <w:tc>
          <w:tcPr>
            <w:tcW w:w="1504" w:type="dxa"/>
            <w:vAlign w:val="center"/>
          </w:tcPr>
          <w:p>
            <w:pPr>
              <w:jc w:val="center"/>
            </w:pPr>
            <w:r>
              <w:t>370</w:t>
            </w:r>
          </w:p>
        </w:tc>
        <w:tc>
          <w:tcPr>
            <w:tcW w:w="1397" w:type="dxa"/>
            <w:vAlign w:val="center"/>
          </w:tcPr>
          <w:p>
            <w:pPr>
              <w:jc w:val="center"/>
            </w:pPr>
            <w:r>
              <w:t>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101004</w:t>
            </w:r>
          </w:p>
        </w:tc>
        <w:tc>
          <w:tcPr>
            <w:tcW w:w="2376" w:type="dxa"/>
            <w:vAlign w:val="center"/>
          </w:tcPr>
          <w:p>
            <w:pPr>
              <w:jc w:val="center"/>
            </w:pPr>
            <w:r>
              <w:t>眼视光学</w:t>
            </w:r>
          </w:p>
        </w:tc>
        <w:tc>
          <w:tcPr>
            <w:tcW w:w="1504" w:type="dxa"/>
            <w:vAlign w:val="center"/>
          </w:tcPr>
          <w:p>
            <w:pPr>
              <w:jc w:val="center"/>
            </w:pPr>
            <w:r>
              <w:t>67</w:t>
            </w:r>
          </w:p>
        </w:tc>
        <w:tc>
          <w:tcPr>
            <w:tcW w:w="1504" w:type="dxa"/>
            <w:vAlign w:val="center"/>
          </w:tcPr>
          <w:p>
            <w:pPr>
              <w:jc w:val="center"/>
            </w:pPr>
            <w:r>
              <w:t>64</w:t>
            </w:r>
          </w:p>
        </w:tc>
        <w:tc>
          <w:tcPr>
            <w:tcW w:w="1397" w:type="dxa"/>
            <w:vAlign w:val="center"/>
          </w:tcPr>
          <w:p>
            <w:pPr>
              <w:jc w:val="center"/>
            </w:pPr>
            <w:r>
              <w:t>95.52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101005</w:t>
            </w:r>
          </w:p>
        </w:tc>
        <w:tc>
          <w:tcPr>
            <w:tcW w:w="2376" w:type="dxa"/>
            <w:vAlign w:val="center"/>
          </w:tcPr>
          <w:p>
            <w:pPr>
              <w:jc w:val="center"/>
            </w:pPr>
            <w:r>
              <w:t>康复治疗学</w:t>
            </w:r>
          </w:p>
        </w:tc>
        <w:tc>
          <w:tcPr>
            <w:tcW w:w="1504" w:type="dxa"/>
            <w:vAlign w:val="center"/>
          </w:tcPr>
          <w:p>
            <w:pPr>
              <w:jc w:val="center"/>
            </w:pPr>
            <w:r>
              <w:t>208</w:t>
            </w:r>
          </w:p>
        </w:tc>
        <w:tc>
          <w:tcPr>
            <w:tcW w:w="1504" w:type="dxa"/>
            <w:vAlign w:val="center"/>
          </w:tcPr>
          <w:p>
            <w:pPr>
              <w:jc w:val="center"/>
            </w:pPr>
            <w:r>
              <w:t>190</w:t>
            </w:r>
          </w:p>
        </w:tc>
        <w:tc>
          <w:tcPr>
            <w:tcW w:w="1397" w:type="dxa"/>
            <w:vAlign w:val="center"/>
          </w:tcPr>
          <w:p>
            <w:pPr>
              <w:jc w:val="center"/>
            </w:pPr>
            <w:r>
              <w:t>91.35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101011T</w:t>
            </w:r>
          </w:p>
        </w:tc>
        <w:tc>
          <w:tcPr>
            <w:tcW w:w="2376" w:type="dxa"/>
            <w:vAlign w:val="center"/>
          </w:tcPr>
          <w:p>
            <w:pPr>
              <w:jc w:val="center"/>
            </w:pPr>
            <w:r>
              <w:t>智能医学工程</w:t>
            </w:r>
          </w:p>
        </w:tc>
        <w:tc>
          <w:tcPr>
            <w:tcW w:w="1504" w:type="dxa"/>
            <w:vAlign w:val="center"/>
          </w:tcPr>
          <w:p>
            <w:pPr>
              <w:jc w:val="center"/>
            </w:pPr>
            <w:r>
              <w:t>53</w:t>
            </w:r>
          </w:p>
        </w:tc>
        <w:tc>
          <w:tcPr>
            <w:tcW w:w="1504" w:type="dxa"/>
            <w:vAlign w:val="center"/>
          </w:tcPr>
          <w:p>
            <w:pPr>
              <w:jc w:val="center"/>
            </w:pPr>
            <w:r>
              <w:t>53</w:t>
            </w:r>
          </w:p>
        </w:tc>
        <w:tc>
          <w:tcPr>
            <w:tcW w:w="1397"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101012T</w:t>
            </w:r>
          </w:p>
        </w:tc>
        <w:tc>
          <w:tcPr>
            <w:tcW w:w="2376" w:type="dxa"/>
            <w:vAlign w:val="center"/>
          </w:tcPr>
          <w:p>
            <w:pPr>
              <w:jc w:val="center"/>
            </w:pPr>
            <w:r>
              <w:t>生物医药数据科学</w:t>
            </w:r>
          </w:p>
        </w:tc>
        <w:tc>
          <w:tcPr>
            <w:tcW w:w="1504" w:type="dxa"/>
            <w:vAlign w:val="center"/>
          </w:tcPr>
          <w:p>
            <w:pPr>
              <w:jc w:val="center"/>
            </w:pPr>
            <w:r>
              <w:t>37</w:t>
            </w:r>
          </w:p>
        </w:tc>
        <w:tc>
          <w:tcPr>
            <w:tcW w:w="1504" w:type="dxa"/>
            <w:vAlign w:val="center"/>
          </w:tcPr>
          <w:p>
            <w:pPr>
              <w:jc w:val="center"/>
            </w:pPr>
            <w:r>
              <w:t>37</w:t>
            </w:r>
          </w:p>
        </w:tc>
        <w:tc>
          <w:tcPr>
            <w:tcW w:w="1397" w:type="dxa"/>
            <w:vAlign w:val="center"/>
          </w:tcPr>
          <w:p>
            <w:pPr>
              <w:jc w:val="center"/>
            </w:pPr>
            <w: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101101</w:t>
            </w:r>
          </w:p>
        </w:tc>
        <w:tc>
          <w:tcPr>
            <w:tcW w:w="2376" w:type="dxa"/>
            <w:vAlign w:val="center"/>
          </w:tcPr>
          <w:p>
            <w:pPr>
              <w:jc w:val="center"/>
            </w:pPr>
            <w:r>
              <w:t>护理学</w:t>
            </w:r>
          </w:p>
        </w:tc>
        <w:tc>
          <w:tcPr>
            <w:tcW w:w="1504" w:type="dxa"/>
            <w:vAlign w:val="center"/>
          </w:tcPr>
          <w:p>
            <w:pPr>
              <w:jc w:val="center"/>
            </w:pPr>
            <w:r>
              <w:t>695</w:t>
            </w:r>
          </w:p>
        </w:tc>
        <w:tc>
          <w:tcPr>
            <w:tcW w:w="1504" w:type="dxa"/>
            <w:vAlign w:val="center"/>
          </w:tcPr>
          <w:p>
            <w:pPr>
              <w:jc w:val="center"/>
            </w:pPr>
            <w:r>
              <w:t>679</w:t>
            </w:r>
          </w:p>
        </w:tc>
        <w:tc>
          <w:tcPr>
            <w:tcW w:w="1397" w:type="dxa"/>
            <w:vAlign w:val="center"/>
          </w:tcPr>
          <w:p>
            <w:pPr>
              <w:jc w:val="center"/>
            </w:pPr>
            <w:r>
              <w:t>97.70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101102T</w:t>
            </w:r>
          </w:p>
        </w:tc>
        <w:tc>
          <w:tcPr>
            <w:tcW w:w="2376" w:type="dxa"/>
            <w:vAlign w:val="center"/>
          </w:tcPr>
          <w:p>
            <w:pPr>
              <w:jc w:val="center"/>
            </w:pPr>
            <w:r>
              <w:t>助产学</w:t>
            </w:r>
          </w:p>
        </w:tc>
        <w:tc>
          <w:tcPr>
            <w:tcW w:w="1504" w:type="dxa"/>
            <w:vAlign w:val="center"/>
          </w:tcPr>
          <w:p>
            <w:pPr>
              <w:jc w:val="center"/>
            </w:pPr>
            <w:r>
              <w:t>60</w:t>
            </w:r>
          </w:p>
        </w:tc>
        <w:tc>
          <w:tcPr>
            <w:tcW w:w="1504" w:type="dxa"/>
            <w:vAlign w:val="center"/>
          </w:tcPr>
          <w:p>
            <w:pPr>
              <w:jc w:val="center"/>
            </w:pPr>
            <w:r>
              <w:t>59</w:t>
            </w:r>
          </w:p>
        </w:tc>
        <w:tc>
          <w:tcPr>
            <w:tcW w:w="1397" w:type="dxa"/>
            <w:vAlign w:val="center"/>
          </w:tcPr>
          <w:p>
            <w:pPr>
              <w:jc w:val="center"/>
            </w:pPr>
            <w:r>
              <w:t>98.33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120401</w:t>
            </w:r>
          </w:p>
        </w:tc>
        <w:tc>
          <w:tcPr>
            <w:tcW w:w="2376" w:type="dxa"/>
            <w:vAlign w:val="center"/>
          </w:tcPr>
          <w:p>
            <w:pPr>
              <w:jc w:val="center"/>
            </w:pPr>
            <w:r>
              <w:t>公共事业管理</w:t>
            </w:r>
          </w:p>
        </w:tc>
        <w:tc>
          <w:tcPr>
            <w:tcW w:w="1504" w:type="dxa"/>
            <w:vAlign w:val="center"/>
          </w:tcPr>
          <w:p>
            <w:pPr>
              <w:jc w:val="center"/>
            </w:pPr>
            <w:r>
              <w:t>461</w:t>
            </w:r>
          </w:p>
        </w:tc>
        <w:tc>
          <w:tcPr>
            <w:tcW w:w="1504" w:type="dxa"/>
            <w:vAlign w:val="center"/>
          </w:tcPr>
          <w:p>
            <w:pPr>
              <w:jc w:val="center"/>
            </w:pPr>
            <w:r>
              <w:t>429</w:t>
            </w:r>
          </w:p>
        </w:tc>
        <w:tc>
          <w:tcPr>
            <w:tcW w:w="1397" w:type="dxa"/>
            <w:vAlign w:val="center"/>
          </w:tcPr>
          <w:p>
            <w:pPr>
              <w:jc w:val="center"/>
            </w:pPr>
            <w:r>
              <w:t>93.06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120410T</w:t>
            </w:r>
          </w:p>
        </w:tc>
        <w:tc>
          <w:tcPr>
            <w:tcW w:w="2376" w:type="dxa"/>
            <w:vAlign w:val="center"/>
          </w:tcPr>
          <w:p>
            <w:pPr>
              <w:jc w:val="center"/>
            </w:pPr>
            <w:r>
              <w:t>健康服务与管理</w:t>
            </w:r>
          </w:p>
        </w:tc>
        <w:tc>
          <w:tcPr>
            <w:tcW w:w="1504" w:type="dxa"/>
            <w:vAlign w:val="center"/>
          </w:tcPr>
          <w:p>
            <w:pPr>
              <w:jc w:val="center"/>
            </w:pPr>
            <w:r>
              <w:t>84</w:t>
            </w:r>
          </w:p>
        </w:tc>
        <w:tc>
          <w:tcPr>
            <w:tcW w:w="1504" w:type="dxa"/>
            <w:vAlign w:val="center"/>
          </w:tcPr>
          <w:p>
            <w:pPr>
              <w:jc w:val="center"/>
            </w:pPr>
            <w:r>
              <w:t>82</w:t>
            </w:r>
          </w:p>
        </w:tc>
        <w:tc>
          <w:tcPr>
            <w:tcW w:w="1397" w:type="dxa"/>
            <w:vAlign w:val="center"/>
          </w:tcPr>
          <w:p>
            <w:pPr>
              <w:jc w:val="center"/>
            </w:pPr>
            <w:r>
              <w:t>97.62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41" w:type="dxa"/>
            <w:vAlign w:val="center"/>
          </w:tcPr>
          <w:p>
            <w:pPr>
              <w:jc w:val="center"/>
            </w:pPr>
            <w:r>
              <w:t>全校整体</w:t>
            </w:r>
          </w:p>
        </w:tc>
        <w:tc>
          <w:tcPr>
            <w:tcW w:w="2376" w:type="dxa"/>
            <w:vAlign w:val="center"/>
          </w:tcPr>
          <w:p>
            <w:pPr>
              <w:jc w:val="center"/>
            </w:pPr>
            <w:r>
              <w:t>/</w:t>
            </w:r>
          </w:p>
        </w:tc>
        <w:tc>
          <w:tcPr>
            <w:tcW w:w="1504" w:type="dxa"/>
            <w:vAlign w:val="center"/>
          </w:tcPr>
          <w:p>
            <w:pPr>
              <w:jc w:val="center"/>
            </w:pPr>
            <w:r>
              <w:t>5015</w:t>
            </w:r>
          </w:p>
        </w:tc>
        <w:tc>
          <w:tcPr>
            <w:tcW w:w="1504" w:type="dxa"/>
            <w:vAlign w:val="center"/>
          </w:tcPr>
          <w:p>
            <w:pPr>
              <w:jc w:val="center"/>
            </w:pPr>
            <w:r>
              <w:t>4715</w:t>
            </w:r>
          </w:p>
        </w:tc>
        <w:tc>
          <w:tcPr>
            <w:tcW w:w="1397" w:type="dxa"/>
            <w:vAlign w:val="center"/>
          </w:tcPr>
          <w:p>
            <w:pPr>
              <w:jc w:val="center"/>
            </w:pPr>
            <w:r>
              <w:t>94.02</w:t>
            </w:r>
          </w:p>
        </w:tc>
      </w:tr>
    </w:tbl>
    <w:p>
      <w:pPr>
        <w:jc w:val="left"/>
      </w:pPr>
    </w:p>
    <w:p>
      <w:pPr>
        <w:jc w:val="left"/>
      </w:pPr>
      <w:r>
        <w:rPr>
          <w:rFonts w:hint="eastAsia" w:ascii="宋体" w:hAnsi="宋体"/>
          <w:sz w:val="24"/>
          <w:szCs w:val="24"/>
        </w:rPr>
        <w:t>24. 学生学习满意度（调查方法与结果）</w:t>
      </w:r>
    </w:p>
    <w:p>
      <w:pPr>
        <w:jc w:val="left"/>
      </w:pPr>
    </w:p>
    <w:p>
      <w:pPr>
        <w:jc w:val="left"/>
      </w:pPr>
      <w:r>
        <w:rPr>
          <w:rFonts w:hint="eastAsia" w:ascii="宋体" w:hAnsi="宋体"/>
          <w:sz w:val="24"/>
          <w:szCs w:val="24"/>
        </w:rPr>
        <w:t>25. 用人单位对毕业生满意度（调查方法与结果）</w:t>
      </w:r>
    </w:p>
    <w:p>
      <w:pPr>
        <w:jc w:val="left"/>
      </w:pPr>
    </w:p>
    <w:p>
      <w:pPr>
        <w:jc w:val="left"/>
      </w:pPr>
      <w:r>
        <w:rPr>
          <w:rFonts w:hint="eastAsia" w:ascii="宋体" w:hAnsi="宋体"/>
          <w:sz w:val="24"/>
          <w:szCs w:val="24"/>
        </w:rPr>
        <w:t>26. 其它与本科教学质量相关数据</w:t>
      </w:r>
    </w:p>
    <w:p>
      <w:pPr>
        <w:spacing w:line="400" w:lineRule="exact"/>
        <w:rPr>
          <w:kern w:val="0"/>
          <w:sz w:val="24"/>
          <w:szCs w:val="24"/>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635" b="3810"/>
              <wp:wrapNone/>
              <wp:docPr id="376222362"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5"/>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文本框 21"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6Yi04hcCAAAYBAAADgAAAAAA&#10;AAABACAAAAAfAQAAZHJzL2Uyb0RvYy54bWxQSwUGAAAAAAYABgBZAQAAqAU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30</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Yjk1MDA2ZTU4NjIyOGIxNjA3OGQ0MGUyNDU2ZDMifQ=="/>
  </w:docVars>
  <w:rsids>
    <w:rsidRoot w:val="00F762F0"/>
    <w:rsid w:val="0000217D"/>
    <w:rsid w:val="0001225B"/>
    <w:rsid w:val="00015F3C"/>
    <w:rsid w:val="0001637C"/>
    <w:rsid w:val="00023E44"/>
    <w:rsid w:val="00023F61"/>
    <w:rsid w:val="00050E95"/>
    <w:rsid w:val="00052A6B"/>
    <w:rsid w:val="00095799"/>
    <w:rsid w:val="000A259C"/>
    <w:rsid w:val="000A4F21"/>
    <w:rsid w:val="000D0207"/>
    <w:rsid w:val="000F47C1"/>
    <w:rsid w:val="000F7829"/>
    <w:rsid w:val="000F7D64"/>
    <w:rsid w:val="00104B87"/>
    <w:rsid w:val="001060CE"/>
    <w:rsid w:val="001075A6"/>
    <w:rsid w:val="00136813"/>
    <w:rsid w:val="001431C3"/>
    <w:rsid w:val="0015728B"/>
    <w:rsid w:val="00157A3E"/>
    <w:rsid w:val="00164359"/>
    <w:rsid w:val="00180899"/>
    <w:rsid w:val="00180EC3"/>
    <w:rsid w:val="0018770D"/>
    <w:rsid w:val="00190BAE"/>
    <w:rsid w:val="00192817"/>
    <w:rsid w:val="001A6E4D"/>
    <w:rsid w:val="001B6487"/>
    <w:rsid w:val="001F1FBE"/>
    <w:rsid w:val="00210641"/>
    <w:rsid w:val="002123F9"/>
    <w:rsid w:val="00225A4D"/>
    <w:rsid w:val="002318FA"/>
    <w:rsid w:val="00241940"/>
    <w:rsid w:val="0024444F"/>
    <w:rsid w:val="00272916"/>
    <w:rsid w:val="00280961"/>
    <w:rsid w:val="002862C1"/>
    <w:rsid w:val="00294EC2"/>
    <w:rsid w:val="002A1AD5"/>
    <w:rsid w:val="002A463C"/>
    <w:rsid w:val="002A5438"/>
    <w:rsid w:val="002A6699"/>
    <w:rsid w:val="002C56E4"/>
    <w:rsid w:val="002D1F3F"/>
    <w:rsid w:val="002D2736"/>
    <w:rsid w:val="002F1148"/>
    <w:rsid w:val="002F438F"/>
    <w:rsid w:val="0030562A"/>
    <w:rsid w:val="00314F56"/>
    <w:rsid w:val="003341C4"/>
    <w:rsid w:val="0037027A"/>
    <w:rsid w:val="003924E1"/>
    <w:rsid w:val="00392F46"/>
    <w:rsid w:val="003B2D4C"/>
    <w:rsid w:val="003B3063"/>
    <w:rsid w:val="003D52B7"/>
    <w:rsid w:val="003E4EA5"/>
    <w:rsid w:val="003E6840"/>
    <w:rsid w:val="003F01FE"/>
    <w:rsid w:val="003F368C"/>
    <w:rsid w:val="003F69F6"/>
    <w:rsid w:val="0040189F"/>
    <w:rsid w:val="00444FA5"/>
    <w:rsid w:val="00457A57"/>
    <w:rsid w:val="004723FF"/>
    <w:rsid w:val="00484779"/>
    <w:rsid w:val="004871AD"/>
    <w:rsid w:val="0049531A"/>
    <w:rsid w:val="00496775"/>
    <w:rsid w:val="004A10C3"/>
    <w:rsid w:val="004A2F3D"/>
    <w:rsid w:val="004A3318"/>
    <w:rsid w:val="004A465D"/>
    <w:rsid w:val="004A4823"/>
    <w:rsid w:val="004D363A"/>
    <w:rsid w:val="004F04DA"/>
    <w:rsid w:val="0054054A"/>
    <w:rsid w:val="00543E5C"/>
    <w:rsid w:val="00551D00"/>
    <w:rsid w:val="00556596"/>
    <w:rsid w:val="00562DB4"/>
    <w:rsid w:val="00562DC2"/>
    <w:rsid w:val="00565D09"/>
    <w:rsid w:val="00571208"/>
    <w:rsid w:val="00577E89"/>
    <w:rsid w:val="00584F86"/>
    <w:rsid w:val="00586FE2"/>
    <w:rsid w:val="005942C7"/>
    <w:rsid w:val="005A1D5B"/>
    <w:rsid w:val="005A51BD"/>
    <w:rsid w:val="005A6118"/>
    <w:rsid w:val="005D18F6"/>
    <w:rsid w:val="005D3D5B"/>
    <w:rsid w:val="005E04CA"/>
    <w:rsid w:val="005E447D"/>
    <w:rsid w:val="005F43D4"/>
    <w:rsid w:val="005F6736"/>
    <w:rsid w:val="005F7E42"/>
    <w:rsid w:val="006030FA"/>
    <w:rsid w:val="00606C30"/>
    <w:rsid w:val="00610D2D"/>
    <w:rsid w:val="006169E1"/>
    <w:rsid w:val="00620E2E"/>
    <w:rsid w:val="00642AAD"/>
    <w:rsid w:val="00642E22"/>
    <w:rsid w:val="00647E79"/>
    <w:rsid w:val="00650BCB"/>
    <w:rsid w:val="0066489C"/>
    <w:rsid w:val="00671C97"/>
    <w:rsid w:val="00671CCE"/>
    <w:rsid w:val="00673F7E"/>
    <w:rsid w:val="0067730D"/>
    <w:rsid w:val="006779F0"/>
    <w:rsid w:val="00680309"/>
    <w:rsid w:val="006809BC"/>
    <w:rsid w:val="00690F1A"/>
    <w:rsid w:val="00694A74"/>
    <w:rsid w:val="006B01E2"/>
    <w:rsid w:val="006B0D4F"/>
    <w:rsid w:val="006C29ED"/>
    <w:rsid w:val="006D6C66"/>
    <w:rsid w:val="006F229F"/>
    <w:rsid w:val="0070441D"/>
    <w:rsid w:val="00707FA4"/>
    <w:rsid w:val="007133A3"/>
    <w:rsid w:val="00717568"/>
    <w:rsid w:val="00745535"/>
    <w:rsid w:val="007521AA"/>
    <w:rsid w:val="00765A92"/>
    <w:rsid w:val="0077179D"/>
    <w:rsid w:val="00775E1B"/>
    <w:rsid w:val="007959E5"/>
    <w:rsid w:val="007A7608"/>
    <w:rsid w:val="007B2997"/>
    <w:rsid w:val="007B438E"/>
    <w:rsid w:val="007B601E"/>
    <w:rsid w:val="007E5B64"/>
    <w:rsid w:val="007F400E"/>
    <w:rsid w:val="007F5CD7"/>
    <w:rsid w:val="0081299F"/>
    <w:rsid w:val="00821230"/>
    <w:rsid w:val="00861890"/>
    <w:rsid w:val="00866061"/>
    <w:rsid w:val="00876FBF"/>
    <w:rsid w:val="00881C3C"/>
    <w:rsid w:val="00891598"/>
    <w:rsid w:val="00892EAB"/>
    <w:rsid w:val="008A42F4"/>
    <w:rsid w:val="008A5CF3"/>
    <w:rsid w:val="008B24B7"/>
    <w:rsid w:val="008B535F"/>
    <w:rsid w:val="008C13E8"/>
    <w:rsid w:val="008C676D"/>
    <w:rsid w:val="008D637C"/>
    <w:rsid w:val="008E001B"/>
    <w:rsid w:val="008E28D5"/>
    <w:rsid w:val="008E3DC0"/>
    <w:rsid w:val="008F7828"/>
    <w:rsid w:val="00900476"/>
    <w:rsid w:val="00914D58"/>
    <w:rsid w:val="0091718F"/>
    <w:rsid w:val="00920034"/>
    <w:rsid w:val="009307F9"/>
    <w:rsid w:val="00952653"/>
    <w:rsid w:val="00961F2E"/>
    <w:rsid w:val="00965CFE"/>
    <w:rsid w:val="00967C75"/>
    <w:rsid w:val="00997540"/>
    <w:rsid w:val="009A5A2E"/>
    <w:rsid w:val="009B5650"/>
    <w:rsid w:val="009B6335"/>
    <w:rsid w:val="009D2AC6"/>
    <w:rsid w:val="009F4432"/>
    <w:rsid w:val="00A03A42"/>
    <w:rsid w:val="00A043A1"/>
    <w:rsid w:val="00A06CF0"/>
    <w:rsid w:val="00A36DD0"/>
    <w:rsid w:val="00A57ADC"/>
    <w:rsid w:val="00A70801"/>
    <w:rsid w:val="00A7416C"/>
    <w:rsid w:val="00A81238"/>
    <w:rsid w:val="00AA048F"/>
    <w:rsid w:val="00AD02FF"/>
    <w:rsid w:val="00AD5CBC"/>
    <w:rsid w:val="00AF1CEA"/>
    <w:rsid w:val="00B06234"/>
    <w:rsid w:val="00B26E2A"/>
    <w:rsid w:val="00B33B26"/>
    <w:rsid w:val="00B50FE5"/>
    <w:rsid w:val="00B541F1"/>
    <w:rsid w:val="00B65812"/>
    <w:rsid w:val="00B72831"/>
    <w:rsid w:val="00B744FF"/>
    <w:rsid w:val="00B8151B"/>
    <w:rsid w:val="00BA329A"/>
    <w:rsid w:val="00BB5BA7"/>
    <w:rsid w:val="00BC7710"/>
    <w:rsid w:val="00BD2890"/>
    <w:rsid w:val="00BE0126"/>
    <w:rsid w:val="00BE0A2F"/>
    <w:rsid w:val="00BE2B97"/>
    <w:rsid w:val="00BE7531"/>
    <w:rsid w:val="00BF04DB"/>
    <w:rsid w:val="00C01813"/>
    <w:rsid w:val="00C32492"/>
    <w:rsid w:val="00C37752"/>
    <w:rsid w:val="00C51EF1"/>
    <w:rsid w:val="00C562E7"/>
    <w:rsid w:val="00C620C9"/>
    <w:rsid w:val="00C73B0A"/>
    <w:rsid w:val="00C75508"/>
    <w:rsid w:val="00C81933"/>
    <w:rsid w:val="00C92E60"/>
    <w:rsid w:val="00CE0689"/>
    <w:rsid w:val="00D03E5F"/>
    <w:rsid w:val="00D053D4"/>
    <w:rsid w:val="00D06774"/>
    <w:rsid w:val="00D1545F"/>
    <w:rsid w:val="00D313E7"/>
    <w:rsid w:val="00D52F5D"/>
    <w:rsid w:val="00D54C51"/>
    <w:rsid w:val="00D5660C"/>
    <w:rsid w:val="00D74DA3"/>
    <w:rsid w:val="00D837BD"/>
    <w:rsid w:val="00DA1BF6"/>
    <w:rsid w:val="00DB69AD"/>
    <w:rsid w:val="00DC1CAB"/>
    <w:rsid w:val="00DE23D3"/>
    <w:rsid w:val="00DE59DC"/>
    <w:rsid w:val="00DE7D8F"/>
    <w:rsid w:val="00E01B42"/>
    <w:rsid w:val="00E06957"/>
    <w:rsid w:val="00E149D1"/>
    <w:rsid w:val="00E20A75"/>
    <w:rsid w:val="00E24BF2"/>
    <w:rsid w:val="00E4244A"/>
    <w:rsid w:val="00E475B9"/>
    <w:rsid w:val="00E578A2"/>
    <w:rsid w:val="00E60599"/>
    <w:rsid w:val="00E6688B"/>
    <w:rsid w:val="00E72287"/>
    <w:rsid w:val="00E811C4"/>
    <w:rsid w:val="00E939EB"/>
    <w:rsid w:val="00EA3384"/>
    <w:rsid w:val="00EE1D2A"/>
    <w:rsid w:val="00EE544D"/>
    <w:rsid w:val="00EE6A5C"/>
    <w:rsid w:val="00EF090C"/>
    <w:rsid w:val="00EF6F21"/>
    <w:rsid w:val="00F2401F"/>
    <w:rsid w:val="00F33AD2"/>
    <w:rsid w:val="00F50969"/>
    <w:rsid w:val="00F6719D"/>
    <w:rsid w:val="00F74CEB"/>
    <w:rsid w:val="00F762F0"/>
    <w:rsid w:val="00F8179C"/>
    <w:rsid w:val="00F82AA3"/>
    <w:rsid w:val="00F925ED"/>
    <w:rsid w:val="00FA262E"/>
    <w:rsid w:val="00FA2784"/>
    <w:rsid w:val="00FB43FD"/>
    <w:rsid w:val="00FB472E"/>
    <w:rsid w:val="00FC4E45"/>
    <w:rsid w:val="00FE738F"/>
    <w:rsid w:val="00FF7F82"/>
    <w:rsid w:val="012E251C"/>
    <w:rsid w:val="01540D7E"/>
    <w:rsid w:val="015C2B0C"/>
    <w:rsid w:val="01617718"/>
    <w:rsid w:val="01714608"/>
    <w:rsid w:val="01B05FBF"/>
    <w:rsid w:val="01DA0159"/>
    <w:rsid w:val="01E74ACC"/>
    <w:rsid w:val="01FA7D8A"/>
    <w:rsid w:val="025621D8"/>
    <w:rsid w:val="02AF2CCE"/>
    <w:rsid w:val="02DF39F5"/>
    <w:rsid w:val="02E53145"/>
    <w:rsid w:val="02FA6102"/>
    <w:rsid w:val="032D0F94"/>
    <w:rsid w:val="035D3297"/>
    <w:rsid w:val="03EF1A15"/>
    <w:rsid w:val="04771784"/>
    <w:rsid w:val="048373D8"/>
    <w:rsid w:val="048A0B35"/>
    <w:rsid w:val="04947460"/>
    <w:rsid w:val="04CD22F7"/>
    <w:rsid w:val="04F149C8"/>
    <w:rsid w:val="04FA2D68"/>
    <w:rsid w:val="05000819"/>
    <w:rsid w:val="05067B1D"/>
    <w:rsid w:val="05173A2E"/>
    <w:rsid w:val="052C706D"/>
    <w:rsid w:val="05410F75"/>
    <w:rsid w:val="054C1162"/>
    <w:rsid w:val="05724EA8"/>
    <w:rsid w:val="05B30030"/>
    <w:rsid w:val="05CC28B4"/>
    <w:rsid w:val="05ED3A5F"/>
    <w:rsid w:val="05F45A09"/>
    <w:rsid w:val="06442B97"/>
    <w:rsid w:val="06615054"/>
    <w:rsid w:val="066C1A43"/>
    <w:rsid w:val="066E57BB"/>
    <w:rsid w:val="06B330D1"/>
    <w:rsid w:val="06DA0C79"/>
    <w:rsid w:val="07272677"/>
    <w:rsid w:val="07593F99"/>
    <w:rsid w:val="076A1F3D"/>
    <w:rsid w:val="076B114C"/>
    <w:rsid w:val="07763450"/>
    <w:rsid w:val="079F3753"/>
    <w:rsid w:val="08055F43"/>
    <w:rsid w:val="080825C1"/>
    <w:rsid w:val="082E2C2C"/>
    <w:rsid w:val="08407FF0"/>
    <w:rsid w:val="087A1F0C"/>
    <w:rsid w:val="08971E12"/>
    <w:rsid w:val="08B814C8"/>
    <w:rsid w:val="08C02F02"/>
    <w:rsid w:val="08CB49F0"/>
    <w:rsid w:val="08D23E83"/>
    <w:rsid w:val="090602E0"/>
    <w:rsid w:val="092A37C5"/>
    <w:rsid w:val="093E37FA"/>
    <w:rsid w:val="09564CC4"/>
    <w:rsid w:val="09C633CC"/>
    <w:rsid w:val="0A0952C4"/>
    <w:rsid w:val="0A3D4565"/>
    <w:rsid w:val="0A600F3E"/>
    <w:rsid w:val="0A9C5C7E"/>
    <w:rsid w:val="0AD35E95"/>
    <w:rsid w:val="0B171567"/>
    <w:rsid w:val="0B321448"/>
    <w:rsid w:val="0B3845DC"/>
    <w:rsid w:val="0B491CEA"/>
    <w:rsid w:val="0B53694C"/>
    <w:rsid w:val="0B5A4D4D"/>
    <w:rsid w:val="0B64293D"/>
    <w:rsid w:val="0B810B57"/>
    <w:rsid w:val="0BC02988"/>
    <w:rsid w:val="0BE93E9C"/>
    <w:rsid w:val="0C1148CB"/>
    <w:rsid w:val="0C301AAF"/>
    <w:rsid w:val="0C6C245D"/>
    <w:rsid w:val="0C776A4C"/>
    <w:rsid w:val="0C795D24"/>
    <w:rsid w:val="0C937FB8"/>
    <w:rsid w:val="0CAD7E9B"/>
    <w:rsid w:val="0D4455C1"/>
    <w:rsid w:val="0D597413"/>
    <w:rsid w:val="0D6E1251"/>
    <w:rsid w:val="0DFB55D7"/>
    <w:rsid w:val="0E43752E"/>
    <w:rsid w:val="0E8804CF"/>
    <w:rsid w:val="0EEA1EAB"/>
    <w:rsid w:val="0F647551"/>
    <w:rsid w:val="0F715FDF"/>
    <w:rsid w:val="0F78511A"/>
    <w:rsid w:val="0F7C0842"/>
    <w:rsid w:val="0F9C7AE0"/>
    <w:rsid w:val="0FF35057"/>
    <w:rsid w:val="0FF713BF"/>
    <w:rsid w:val="0FFB1D26"/>
    <w:rsid w:val="100B21BF"/>
    <w:rsid w:val="103B0D7D"/>
    <w:rsid w:val="104B4477"/>
    <w:rsid w:val="10B438E7"/>
    <w:rsid w:val="10CA1EDF"/>
    <w:rsid w:val="10F72C5B"/>
    <w:rsid w:val="11082151"/>
    <w:rsid w:val="11115CFE"/>
    <w:rsid w:val="11120ADD"/>
    <w:rsid w:val="111F62D1"/>
    <w:rsid w:val="11221F59"/>
    <w:rsid w:val="114C3E69"/>
    <w:rsid w:val="115D0906"/>
    <w:rsid w:val="115E0C60"/>
    <w:rsid w:val="116E07E8"/>
    <w:rsid w:val="117C2CAF"/>
    <w:rsid w:val="11AA3CBF"/>
    <w:rsid w:val="11B8674C"/>
    <w:rsid w:val="11D50A10"/>
    <w:rsid w:val="120256E7"/>
    <w:rsid w:val="120D5E88"/>
    <w:rsid w:val="122D7134"/>
    <w:rsid w:val="124778FE"/>
    <w:rsid w:val="12497A59"/>
    <w:rsid w:val="12601964"/>
    <w:rsid w:val="126E4050"/>
    <w:rsid w:val="12971728"/>
    <w:rsid w:val="12B720CA"/>
    <w:rsid w:val="12CA7235"/>
    <w:rsid w:val="12FF1677"/>
    <w:rsid w:val="130A3193"/>
    <w:rsid w:val="1320106B"/>
    <w:rsid w:val="133119DF"/>
    <w:rsid w:val="134621D2"/>
    <w:rsid w:val="1352558A"/>
    <w:rsid w:val="13632E3B"/>
    <w:rsid w:val="13951B3B"/>
    <w:rsid w:val="13AD7E0A"/>
    <w:rsid w:val="13AE2027"/>
    <w:rsid w:val="13B003F4"/>
    <w:rsid w:val="13F144EE"/>
    <w:rsid w:val="13F923DF"/>
    <w:rsid w:val="146354B5"/>
    <w:rsid w:val="14B262FB"/>
    <w:rsid w:val="14C53465"/>
    <w:rsid w:val="14DF232D"/>
    <w:rsid w:val="14EF1021"/>
    <w:rsid w:val="15310D02"/>
    <w:rsid w:val="154732A6"/>
    <w:rsid w:val="154D6C36"/>
    <w:rsid w:val="155628F5"/>
    <w:rsid w:val="158C17BA"/>
    <w:rsid w:val="159B16B1"/>
    <w:rsid w:val="15B64F72"/>
    <w:rsid w:val="16032A1F"/>
    <w:rsid w:val="161104C0"/>
    <w:rsid w:val="162E212E"/>
    <w:rsid w:val="163E19B3"/>
    <w:rsid w:val="165B59F2"/>
    <w:rsid w:val="16851CD0"/>
    <w:rsid w:val="1686445B"/>
    <w:rsid w:val="17557799"/>
    <w:rsid w:val="178C3CF3"/>
    <w:rsid w:val="1795649C"/>
    <w:rsid w:val="17A07C63"/>
    <w:rsid w:val="17EC5A79"/>
    <w:rsid w:val="17EE5049"/>
    <w:rsid w:val="181827A8"/>
    <w:rsid w:val="1831677D"/>
    <w:rsid w:val="1847137D"/>
    <w:rsid w:val="18511BAC"/>
    <w:rsid w:val="18603A3B"/>
    <w:rsid w:val="18624BE4"/>
    <w:rsid w:val="187004C1"/>
    <w:rsid w:val="18780DF5"/>
    <w:rsid w:val="18D06E3F"/>
    <w:rsid w:val="18DE383D"/>
    <w:rsid w:val="19095BC5"/>
    <w:rsid w:val="191973EB"/>
    <w:rsid w:val="194D1260"/>
    <w:rsid w:val="194D573D"/>
    <w:rsid w:val="1981429E"/>
    <w:rsid w:val="19845F72"/>
    <w:rsid w:val="198D73BF"/>
    <w:rsid w:val="199D3F96"/>
    <w:rsid w:val="19B16DE9"/>
    <w:rsid w:val="19B25567"/>
    <w:rsid w:val="19D97F91"/>
    <w:rsid w:val="19E15612"/>
    <w:rsid w:val="19FD67E3"/>
    <w:rsid w:val="1A1577B0"/>
    <w:rsid w:val="1A1B1725"/>
    <w:rsid w:val="1A67763C"/>
    <w:rsid w:val="1A81091F"/>
    <w:rsid w:val="1AB24F1C"/>
    <w:rsid w:val="1AD67D76"/>
    <w:rsid w:val="1B06480E"/>
    <w:rsid w:val="1B516774"/>
    <w:rsid w:val="1B835BFD"/>
    <w:rsid w:val="1B986462"/>
    <w:rsid w:val="1BA0245B"/>
    <w:rsid w:val="1C2B4383"/>
    <w:rsid w:val="1C2F586B"/>
    <w:rsid w:val="1C4B0C98"/>
    <w:rsid w:val="1C595AB7"/>
    <w:rsid w:val="1C800BC8"/>
    <w:rsid w:val="1C8C5E78"/>
    <w:rsid w:val="1CC72BA7"/>
    <w:rsid w:val="1CCC570F"/>
    <w:rsid w:val="1CF973E3"/>
    <w:rsid w:val="1D1E261A"/>
    <w:rsid w:val="1D5F6D88"/>
    <w:rsid w:val="1D67589A"/>
    <w:rsid w:val="1D7D1670"/>
    <w:rsid w:val="1D8B2357"/>
    <w:rsid w:val="1D942AFF"/>
    <w:rsid w:val="1DFF7B10"/>
    <w:rsid w:val="1E0457D8"/>
    <w:rsid w:val="1E1A31EF"/>
    <w:rsid w:val="1E78722C"/>
    <w:rsid w:val="1EAD73D2"/>
    <w:rsid w:val="1EE718E3"/>
    <w:rsid w:val="1EF64E78"/>
    <w:rsid w:val="1EF979D6"/>
    <w:rsid w:val="1F2733AF"/>
    <w:rsid w:val="1F5004CB"/>
    <w:rsid w:val="1F5963B1"/>
    <w:rsid w:val="1F5F1CED"/>
    <w:rsid w:val="1F717436"/>
    <w:rsid w:val="1F787F4B"/>
    <w:rsid w:val="1FC9379B"/>
    <w:rsid w:val="1FDC62F1"/>
    <w:rsid w:val="20030942"/>
    <w:rsid w:val="202E6606"/>
    <w:rsid w:val="20B16F7B"/>
    <w:rsid w:val="20C938C2"/>
    <w:rsid w:val="20E57FD0"/>
    <w:rsid w:val="20E808D7"/>
    <w:rsid w:val="214E7E75"/>
    <w:rsid w:val="215003D5"/>
    <w:rsid w:val="215E638A"/>
    <w:rsid w:val="216830DB"/>
    <w:rsid w:val="21A41C3A"/>
    <w:rsid w:val="21C35049"/>
    <w:rsid w:val="21D332D1"/>
    <w:rsid w:val="21EB79F2"/>
    <w:rsid w:val="21ED3680"/>
    <w:rsid w:val="220821C8"/>
    <w:rsid w:val="22325497"/>
    <w:rsid w:val="227169F9"/>
    <w:rsid w:val="22A569C9"/>
    <w:rsid w:val="231E7EC8"/>
    <w:rsid w:val="23465C4E"/>
    <w:rsid w:val="23720079"/>
    <w:rsid w:val="23BD13E2"/>
    <w:rsid w:val="23C523DE"/>
    <w:rsid w:val="23CC3F18"/>
    <w:rsid w:val="243D6726"/>
    <w:rsid w:val="243F5C4A"/>
    <w:rsid w:val="24DC736B"/>
    <w:rsid w:val="24EF648D"/>
    <w:rsid w:val="25262B6C"/>
    <w:rsid w:val="252F3134"/>
    <w:rsid w:val="25567FB8"/>
    <w:rsid w:val="256946A3"/>
    <w:rsid w:val="25EC2958"/>
    <w:rsid w:val="25EE48EB"/>
    <w:rsid w:val="26036DF8"/>
    <w:rsid w:val="261B00F2"/>
    <w:rsid w:val="264B69DF"/>
    <w:rsid w:val="269D1E96"/>
    <w:rsid w:val="26CB0D13"/>
    <w:rsid w:val="26D677F6"/>
    <w:rsid w:val="26DE2E5C"/>
    <w:rsid w:val="270F79AC"/>
    <w:rsid w:val="272578AE"/>
    <w:rsid w:val="27803121"/>
    <w:rsid w:val="279462AC"/>
    <w:rsid w:val="27CF15FF"/>
    <w:rsid w:val="27E14A20"/>
    <w:rsid w:val="280F2334"/>
    <w:rsid w:val="282768AA"/>
    <w:rsid w:val="283C0C1D"/>
    <w:rsid w:val="28821C91"/>
    <w:rsid w:val="28887024"/>
    <w:rsid w:val="28A11310"/>
    <w:rsid w:val="28DC57DF"/>
    <w:rsid w:val="292506E6"/>
    <w:rsid w:val="29373E45"/>
    <w:rsid w:val="293C0CBE"/>
    <w:rsid w:val="29502D11"/>
    <w:rsid w:val="299B15EB"/>
    <w:rsid w:val="29C56224"/>
    <w:rsid w:val="29CA2DA3"/>
    <w:rsid w:val="2A0B6CFA"/>
    <w:rsid w:val="2A0C4B3B"/>
    <w:rsid w:val="2ADF04BF"/>
    <w:rsid w:val="2AE84108"/>
    <w:rsid w:val="2B7B381D"/>
    <w:rsid w:val="2B946819"/>
    <w:rsid w:val="2B9B3FCA"/>
    <w:rsid w:val="2BD70F0E"/>
    <w:rsid w:val="2C397B74"/>
    <w:rsid w:val="2C5D1560"/>
    <w:rsid w:val="2D054FEB"/>
    <w:rsid w:val="2D077E77"/>
    <w:rsid w:val="2D220B05"/>
    <w:rsid w:val="2D265BF9"/>
    <w:rsid w:val="2D772E08"/>
    <w:rsid w:val="2DA3344A"/>
    <w:rsid w:val="2DE60F67"/>
    <w:rsid w:val="2DF07849"/>
    <w:rsid w:val="2DF34A7C"/>
    <w:rsid w:val="2DFA3110"/>
    <w:rsid w:val="2E1C4C89"/>
    <w:rsid w:val="2E550337"/>
    <w:rsid w:val="2E7F4C86"/>
    <w:rsid w:val="2E8240F6"/>
    <w:rsid w:val="2EBF3AB7"/>
    <w:rsid w:val="2EF14E58"/>
    <w:rsid w:val="2EF7784D"/>
    <w:rsid w:val="2F0360E0"/>
    <w:rsid w:val="2F204DAB"/>
    <w:rsid w:val="2F4C62DB"/>
    <w:rsid w:val="2F5C7FF7"/>
    <w:rsid w:val="2F632C83"/>
    <w:rsid w:val="2FFC76D3"/>
    <w:rsid w:val="300D2F47"/>
    <w:rsid w:val="30276FBB"/>
    <w:rsid w:val="30542221"/>
    <w:rsid w:val="306E5F5A"/>
    <w:rsid w:val="30990C67"/>
    <w:rsid w:val="30997DC3"/>
    <w:rsid w:val="311F24CB"/>
    <w:rsid w:val="31272704"/>
    <w:rsid w:val="31702693"/>
    <w:rsid w:val="31734F3F"/>
    <w:rsid w:val="317D77CE"/>
    <w:rsid w:val="31947E77"/>
    <w:rsid w:val="31AF21F9"/>
    <w:rsid w:val="31CB6664"/>
    <w:rsid w:val="31DA2741"/>
    <w:rsid w:val="31FC4165"/>
    <w:rsid w:val="324E32D1"/>
    <w:rsid w:val="32787451"/>
    <w:rsid w:val="32F07705"/>
    <w:rsid w:val="32F2683F"/>
    <w:rsid w:val="33134DF7"/>
    <w:rsid w:val="33240E2C"/>
    <w:rsid w:val="333F01F8"/>
    <w:rsid w:val="33984805"/>
    <w:rsid w:val="33B64391"/>
    <w:rsid w:val="3445753E"/>
    <w:rsid w:val="346D0D74"/>
    <w:rsid w:val="34943D90"/>
    <w:rsid w:val="34953EEB"/>
    <w:rsid w:val="349D6501"/>
    <w:rsid w:val="34BD7997"/>
    <w:rsid w:val="34C67187"/>
    <w:rsid w:val="34DD1D1E"/>
    <w:rsid w:val="3509449D"/>
    <w:rsid w:val="351C4E79"/>
    <w:rsid w:val="352E65A7"/>
    <w:rsid w:val="353734C5"/>
    <w:rsid w:val="35652F1E"/>
    <w:rsid w:val="35AF0E81"/>
    <w:rsid w:val="35D114CF"/>
    <w:rsid w:val="364716F8"/>
    <w:rsid w:val="36D04437"/>
    <w:rsid w:val="36E137F5"/>
    <w:rsid w:val="3704533A"/>
    <w:rsid w:val="372C3BD9"/>
    <w:rsid w:val="375F2433"/>
    <w:rsid w:val="379F4342"/>
    <w:rsid w:val="37BA3B0D"/>
    <w:rsid w:val="37E04F54"/>
    <w:rsid w:val="37F77945"/>
    <w:rsid w:val="3801002C"/>
    <w:rsid w:val="38044AE3"/>
    <w:rsid w:val="380C69AB"/>
    <w:rsid w:val="381A1687"/>
    <w:rsid w:val="381C67F8"/>
    <w:rsid w:val="38286CC9"/>
    <w:rsid w:val="38D12FA3"/>
    <w:rsid w:val="38DA1A05"/>
    <w:rsid w:val="39164203"/>
    <w:rsid w:val="391713F1"/>
    <w:rsid w:val="391A5D83"/>
    <w:rsid w:val="393309BE"/>
    <w:rsid w:val="39603EAF"/>
    <w:rsid w:val="396C4BD3"/>
    <w:rsid w:val="3971644D"/>
    <w:rsid w:val="39755EFE"/>
    <w:rsid w:val="39975918"/>
    <w:rsid w:val="39D76153"/>
    <w:rsid w:val="39DA2245"/>
    <w:rsid w:val="39F52FDB"/>
    <w:rsid w:val="3A211C22"/>
    <w:rsid w:val="3A6A1575"/>
    <w:rsid w:val="3A971EE4"/>
    <w:rsid w:val="3AF05785"/>
    <w:rsid w:val="3B122843"/>
    <w:rsid w:val="3B136658"/>
    <w:rsid w:val="3B2E6960"/>
    <w:rsid w:val="3B5A24DA"/>
    <w:rsid w:val="3B656CE5"/>
    <w:rsid w:val="3B7650A3"/>
    <w:rsid w:val="3B8C06BE"/>
    <w:rsid w:val="3B8C139B"/>
    <w:rsid w:val="3B9D06A6"/>
    <w:rsid w:val="3B9D6167"/>
    <w:rsid w:val="3BB46E87"/>
    <w:rsid w:val="3BBB7913"/>
    <w:rsid w:val="3BF73E63"/>
    <w:rsid w:val="3BFB3804"/>
    <w:rsid w:val="3C142BB9"/>
    <w:rsid w:val="3C1F5DEA"/>
    <w:rsid w:val="3C284449"/>
    <w:rsid w:val="3C29701A"/>
    <w:rsid w:val="3C354E86"/>
    <w:rsid w:val="3C5A3559"/>
    <w:rsid w:val="3C6C78E5"/>
    <w:rsid w:val="3C832F5D"/>
    <w:rsid w:val="3C8D47B6"/>
    <w:rsid w:val="3CA55648"/>
    <w:rsid w:val="3CAA3545"/>
    <w:rsid w:val="3CC275A2"/>
    <w:rsid w:val="3D242378"/>
    <w:rsid w:val="3D283CBC"/>
    <w:rsid w:val="3D436353"/>
    <w:rsid w:val="3D581550"/>
    <w:rsid w:val="3D731AA0"/>
    <w:rsid w:val="3D820C29"/>
    <w:rsid w:val="3D8A6863"/>
    <w:rsid w:val="3DBA340C"/>
    <w:rsid w:val="3DE773C5"/>
    <w:rsid w:val="3DF430B8"/>
    <w:rsid w:val="3EAE3606"/>
    <w:rsid w:val="3EEE911F"/>
    <w:rsid w:val="3F11473D"/>
    <w:rsid w:val="3F33689F"/>
    <w:rsid w:val="3FA3447A"/>
    <w:rsid w:val="3FB92196"/>
    <w:rsid w:val="3FC32E4B"/>
    <w:rsid w:val="3FE30B58"/>
    <w:rsid w:val="402D2BEA"/>
    <w:rsid w:val="407D6048"/>
    <w:rsid w:val="40810D4B"/>
    <w:rsid w:val="4086225B"/>
    <w:rsid w:val="40AB2929"/>
    <w:rsid w:val="40CE15FA"/>
    <w:rsid w:val="40FB5BD9"/>
    <w:rsid w:val="410A7837"/>
    <w:rsid w:val="41142CB9"/>
    <w:rsid w:val="4126101B"/>
    <w:rsid w:val="413C5593"/>
    <w:rsid w:val="41620584"/>
    <w:rsid w:val="419C6E6F"/>
    <w:rsid w:val="41E91134"/>
    <w:rsid w:val="4205053A"/>
    <w:rsid w:val="420B06D7"/>
    <w:rsid w:val="421D30A3"/>
    <w:rsid w:val="42240C03"/>
    <w:rsid w:val="42417305"/>
    <w:rsid w:val="42641CB3"/>
    <w:rsid w:val="43222614"/>
    <w:rsid w:val="43245FE1"/>
    <w:rsid w:val="43BD0962"/>
    <w:rsid w:val="43E46741"/>
    <w:rsid w:val="43F860E9"/>
    <w:rsid w:val="443A16C8"/>
    <w:rsid w:val="446434E5"/>
    <w:rsid w:val="44D75F86"/>
    <w:rsid w:val="450F1ED3"/>
    <w:rsid w:val="451707F1"/>
    <w:rsid w:val="452163BF"/>
    <w:rsid w:val="4523725A"/>
    <w:rsid w:val="459E05CA"/>
    <w:rsid w:val="45C25C9D"/>
    <w:rsid w:val="45E15E2E"/>
    <w:rsid w:val="45EF049B"/>
    <w:rsid w:val="45F224C2"/>
    <w:rsid w:val="461A0599"/>
    <w:rsid w:val="46527279"/>
    <w:rsid w:val="46564F9D"/>
    <w:rsid w:val="46811367"/>
    <w:rsid w:val="46977D4E"/>
    <w:rsid w:val="46A61876"/>
    <w:rsid w:val="46DB5E7D"/>
    <w:rsid w:val="46E9122E"/>
    <w:rsid w:val="473B445C"/>
    <w:rsid w:val="47404076"/>
    <w:rsid w:val="478316F8"/>
    <w:rsid w:val="47B05438"/>
    <w:rsid w:val="47B85108"/>
    <w:rsid w:val="47BC0478"/>
    <w:rsid w:val="47E036F4"/>
    <w:rsid w:val="47F71BB0"/>
    <w:rsid w:val="48615660"/>
    <w:rsid w:val="48855A71"/>
    <w:rsid w:val="48CB5E9B"/>
    <w:rsid w:val="48DE7FAC"/>
    <w:rsid w:val="48EA13FE"/>
    <w:rsid w:val="490E5905"/>
    <w:rsid w:val="4958719C"/>
    <w:rsid w:val="49595D88"/>
    <w:rsid w:val="497F2A36"/>
    <w:rsid w:val="498C0390"/>
    <w:rsid w:val="49A90C47"/>
    <w:rsid w:val="49EC1734"/>
    <w:rsid w:val="4A03305E"/>
    <w:rsid w:val="4A533826"/>
    <w:rsid w:val="4AA23077"/>
    <w:rsid w:val="4AB10D81"/>
    <w:rsid w:val="4AC75465"/>
    <w:rsid w:val="4AE42F23"/>
    <w:rsid w:val="4B2C6CB4"/>
    <w:rsid w:val="4B6865CE"/>
    <w:rsid w:val="4B7A66D1"/>
    <w:rsid w:val="4BCB7D2E"/>
    <w:rsid w:val="4BCF3F8B"/>
    <w:rsid w:val="4BDF6EB3"/>
    <w:rsid w:val="4BE46664"/>
    <w:rsid w:val="4BF731F0"/>
    <w:rsid w:val="4C066476"/>
    <w:rsid w:val="4C0D096E"/>
    <w:rsid w:val="4C155F0F"/>
    <w:rsid w:val="4C2F2A1B"/>
    <w:rsid w:val="4C300D8D"/>
    <w:rsid w:val="4C6341CD"/>
    <w:rsid w:val="4C7E219F"/>
    <w:rsid w:val="4CE65C88"/>
    <w:rsid w:val="4D3B7270"/>
    <w:rsid w:val="4D495F98"/>
    <w:rsid w:val="4D5328A3"/>
    <w:rsid w:val="4DA12C5E"/>
    <w:rsid w:val="4DF67476"/>
    <w:rsid w:val="4DF96BEC"/>
    <w:rsid w:val="4E173F6A"/>
    <w:rsid w:val="4E2B7700"/>
    <w:rsid w:val="4E410748"/>
    <w:rsid w:val="4E4A7DB4"/>
    <w:rsid w:val="4E6B239A"/>
    <w:rsid w:val="4E710F72"/>
    <w:rsid w:val="4EB754AE"/>
    <w:rsid w:val="4EDB1D06"/>
    <w:rsid w:val="4F1244F0"/>
    <w:rsid w:val="4F3C065C"/>
    <w:rsid w:val="4F704436"/>
    <w:rsid w:val="4F8A4C6E"/>
    <w:rsid w:val="4F997D52"/>
    <w:rsid w:val="4FBD0810"/>
    <w:rsid w:val="501B7BB1"/>
    <w:rsid w:val="506B35E1"/>
    <w:rsid w:val="50750A7C"/>
    <w:rsid w:val="507F4AED"/>
    <w:rsid w:val="50CC6933"/>
    <w:rsid w:val="51082C57"/>
    <w:rsid w:val="51742D5F"/>
    <w:rsid w:val="51934373"/>
    <w:rsid w:val="519B1C0B"/>
    <w:rsid w:val="51A11B6E"/>
    <w:rsid w:val="51B45AB3"/>
    <w:rsid w:val="51C4585C"/>
    <w:rsid w:val="51EA658E"/>
    <w:rsid w:val="51F14CB3"/>
    <w:rsid w:val="52234F0C"/>
    <w:rsid w:val="52336854"/>
    <w:rsid w:val="52545997"/>
    <w:rsid w:val="52927EB2"/>
    <w:rsid w:val="529C1B08"/>
    <w:rsid w:val="52F81F7A"/>
    <w:rsid w:val="53076C5A"/>
    <w:rsid w:val="530A14B7"/>
    <w:rsid w:val="531279FF"/>
    <w:rsid w:val="53145C28"/>
    <w:rsid w:val="5339410D"/>
    <w:rsid w:val="53456ABB"/>
    <w:rsid w:val="535933DA"/>
    <w:rsid w:val="537A08C9"/>
    <w:rsid w:val="538932FB"/>
    <w:rsid w:val="5389467D"/>
    <w:rsid w:val="539A7664"/>
    <w:rsid w:val="53B61A8B"/>
    <w:rsid w:val="53C72F28"/>
    <w:rsid w:val="541941D9"/>
    <w:rsid w:val="542F1C68"/>
    <w:rsid w:val="546A1CEA"/>
    <w:rsid w:val="546A1F7B"/>
    <w:rsid w:val="555D4F82"/>
    <w:rsid w:val="557725C6"/>
    <w:rsid w:val="557D644E"/>
    <w:rsid w:val="558C6691"/>
    <w:rsid w:val="559F1CC1"/>
    <w:rsid w:val="55A363A6"/>
    <w:rsid w:val="55E07A36"/>
    <w:rsid w:val="55E30DB0"/>
    <w:rsid w:val="5610079E"/>
    <w:rsid w:val="562E3FF6"/>
    <w:rsid w:val="564A4BA8"/>
    <w:rsid w:val="5656075D"/>
    <w:rsid w:val="56847368"/>
    <w:rsid w:val="569E667C"/>
    <w:rsid w:val="56D579A8"/>
    <w:rsid w:val="56D976B4"/>
    <w:rsid w:val="56DB7756"/>
    <w:rsid w:val="572B3C93"/>
    <w:rsid w:val="57504F33"/>
    <w:rsid w:val="57610541"/>
    <w:rsid w:val="577A462B"/>
    <w:rsid w:val="57A724EC"/>
    <w:rsid w:val="5832699E"/>
    <w:rsid w:val="583327AD"/>
    <w:rsid w:val="58633DBF"/>
    <w:rsid w:val="586B07E0"/>
    <w:rsid w:val="58980156"/>
    <w:rsid w:val="58B303D9"/>
    <w:rsid w:val="58CB6BD5"/>
    <w:rsid w:val="58D07399"/>
    <w:rsid w:val="59192C05"/>
    <w:rsid w:val="59350E2A"/>
    <w:rsid w:val="59554F3F"/>
    <w:rsid w:val="596C2A61"/>
    <w:rsid w:val="597641AF"/>
    <w:rsid w:val="59B453B2"/>
    <w:rsid w:val="59CD5AB7"/>
    <w:rsid w:val="5A1850C6"/>
    <w:rsid w:val="5A5C27C7"/>
    <w:rsid w:val="5AAC50E0"/>
    <w:rsid w:val="5AAE2559"/>
    <w:rsid w:val="5AEF2125"/>
    <w:rsid w:val="5AFB7BD6"/>
    <w:rsid w:val="5B0150AA"/>
    <w:rsid w:val="5B092801"/>
    <w:rsid w:val="5B24029F"/>
    <w:rsid w:val="5B3A40D3"/>
    <w:rsid w:val="5B5B5BA4"/>
    <w:rsid w:val="5BAE179A"/>
    <w:rsid w:val="5BB95D06"/>
    <w:rsid w:val="5BD103F6"/>
    <w:rsid w:val="5BD5413A"/>
    <w:rsid w:val="5BDD1BCA"/>
    <w:rsid w:val="5C130E91"/>
    <w:rsid w:val="5C163158"/>
    <w:rsid w:val="5C436F01"/>
    <w:rsid w:val="5C6F4617"/>
    <w:rsid w:val="5CAE0ED2"/>
    <w:rsid w:val="5CB372D6"/>
    <w:rsid w:val="5CD8361C"/>
    <w:rsid w:val="5CDF2F99"/>
    <w:rsid w:val="5CEC1BFD"/>
    <w:rsid w:val="5CEC1C45"/>
    <w:rsid w:val="5CF05758"/>
    <w:rsid w:val="5D4C41B3"/>
    <w:rsid w:val="5D4C6DCF"/>
    <w:rsid w:val="5D754190"/>
    <w:rsid w:val="5D9359D4"/>
    <w:rsid w:val="5DBE3687"/>
    <w:rsid w:val="5DE51034"/>
    <w:rsid w:val="5E103654"/>
    <w:rsid w:val="5E164FD0"/>
    <w:rsid w:val="5E526E68"/>
    <w:rsid w:val="5E591589"/>
    <w:rsid w:val="5E9D68D8"/>
    <w:rsid w:val="5EB064C6"/>
    <w:rsid w:val="5EE57C39"/>
    <w:rsid w:val="5EE87787"/>
    <w:rsid w:val="5EEA1036"/>
    <w:rsid w:val="5EEF55F9"/>
    <w:rsid w:val="5F4517B3"/>
    <w:rsid w:val="5FA4497F"/>
    <w:rsid w:val="5FD255E8"/>
    <w:rsid w:val="5FFD9D15"/>
    <w:rsid w:val="5FFE1D4B"/>
    <w:rsid w:val="60002155"/>
    <w:rsid w:val="60377773"/>
    <w:rsid w:val="603D0A2D"/>
    <w:rsid w:val="60563B24"/>
    <w:rsid w:val="60566E74"/>
    <w:rsid w:val="6062421D"/>
    <w:rsid w:val="60745ACD"/>
    <w:rsid w:val="607A3698"/>
    <w:rsid w:val="6094309C"/>
    <w:rsid w:val="6094419B"/>
    <w:rsid w:val="609878D9"/>
    <w:rsid w:val="60994F1B"/>
    <w:rsid w:val="60A76A75"/>
    <w:rsid w:val="60AE5AD9"/>
    <w:rsid w:val="60D16D2C"/>
    <w:rsid w:val="60E16FC7"/>
    <w:rsid w:val="611539DF"/>
    <w:rsid w:val="611A1786"/>
    <w:rsid w:val="612145A7"/>
    <w:rsid w:val="61870F17"/>
    <w:rsid w:val="61883912"/>
    <w:rsid w:val="619113FB"/>
    <w:rsid w:val="61AE11BE"/>
    <w:rsid w:val="61E82D1A"/>
    <w:rsid w:val="62022090"/>
    <w:rsid w:val="6206798B"/>
    <w:rsid w:val="62172E25"/>
    <w:rsid w:val="62173AE8"/>
    <w:rsid w:val="623857B4"/>
    <w:rsid w:val="62C7024B"/>
    <w:rsid w:val="62DF2A10"/>
    <w:rsid w:val="63000097"/>
    <w:rsid w:val="63527842"/>
    <w:rsid w:val="63787A87"/>
    <w:rsid w:val="637B4E93"/>
    <w:rsid w:val="63A233DF"/>
    <w:rsid w:val="63C96D02"/>
    <w:rsid w:val="63F358B8"/>
    <w:rsid w:val="63F71192"/>
    <w:rsid w:val="64166296"/>
    <w:rsid w:val="64552E16"/>
    <w:rsid w:val="64CF20F6"/>
    <w:rsid w:val="650760DC"/>
    <w:rsid w:val="651A576D"/>
    <w:rsid w:val="65286C31"/>
    <w:rsid w:val="65383216"/>
    <w:rsid w:val="65397E9C"/>
    <w:rsid w:val="65793882"/>
    <w:rsid w:val="657D1B52"/>
    <w:rsid w:val="659855AE"/>
    <w:rsid w:val="65B81595"/>
    <w:rsid w:val="65EB45B1"/>
    <w:rsid w:val="662E0238"/>
    <w:rsid w:val="66334D6E"/>
    <w:rsid w:val="667F2D28"/>
    <w:rsid w:val="66A42063"/>
    <w:rsid w:val="66E83ACB"/>
    <w:rsid w:val="66FF6B2B"/>
    <w:rsid w:val="6715510A"/>
    <w:rsid w:val="67514E23"/>
    <w:rsid w:val="67585D24"/>
    <w:rsid w:val="675B04ED"/>
    <w:rsid w:val="67664B1A"/>
    <w:rsid w:val="67753429"/>
    <w:rsid w:val="677C5835"/>
    <w:rsid w:val="67825D81"/>
    <w:rsid w:val="67A8712C"/>
    <w:rsid w:val="67B51730"/>
    <w:rsid w:val="67C4698F"/>
    <w:rsid w:val="67D314B8"/>
    <w:rsid w:val="67F03CB5"/>
    <w:rsid w:val="68747C9A"/>
    <w:rsid w:val="6885700E"/>
    <w:rsid w:val="68CA44B1"/>
    <w:rsid w:val="68F35F44"/>
    <w:rsid w:val="697A2F79"/>
    <w:rsid w:val="698160E9"/>
    <w:rsid w:val="69823BDB"/>
    <w:rsid w:val="699F4D2E"/>
    <w:rsid w:val="69B94808"/>
    <w:rsid w:val="69DF4829"/>
    <w:rsid w:val="6A285E1E"/>
    <w:rsid w:val="6A961B4B"/>
    <w:rsid w:val="6AB6218F"/>
    <w:rsid w:val="6AC67AF8"/>
    <w:rsid w:val="6ADD7B3B"/>
    <w:rsid w:val="6AE02856"/>
    <w:rsid w:val="6AF24CE1"/>
    <w:rsid w:val="6B217E35"/>
    <w:rsid w:val="6B4E2C22"/>
    <w:rsid w:val="6BB073CA"/>
    <w:rsid w:val="6C731D0C"/>
    <w:rsid w:val="6C8F56AE"/>
    <w:rsid w:val="6C931878"/>
    <w:rsid w:val="6CF74E6C"/>
    <w:rsid w:val="6D112EA1"/>
    <w:rsid w:val="6D595FB5"/>
    <w:rsid w:val="6D701985"/>
    <w:rsid w:val="6D725876"/>
    <w:rsid w:val="6D7F7D4C"/>
    <w:rsid w:val="6D9A0803"/>
    <w:rsid w:val="6DA34120"/>
    <w:rsid w:val="6DF616C2"/>
    <w:rsid w:val="6E59521F"/>
    <w:rsid w:val="6EA45E8B"/>
    <w:rsid w:val="6ED74EBD"/>
    <w:rsid w:val="6F30400B"/>
    <w:rsid w:val="6F424D64"/>
    <w:rsid w:val="6F6C59FA"/>
    <w:rsid w:val="6F914E74"/>
    <w:rsid w:val="700B73A1"/>
    <w:rsid w:val="70227EC6"/>
    <w:rsid w:val="702A75AE"/>
    <w:rsid w:val="704B2304"/>
    <w:rsid w:val="704B7F04"/>
    <w:rsid w:val="705E5050"/>
    <w:rsid w:val="708A15C7"/>
    <w:rsid w:val="70A56118"/>
    <w:rsid w:val="70D05DE9"/>
    <w:rsid w:val="70F75A84"/>
    <w:rsid w:val="717B560A"/>
    <w:rsid w:val="718A2E7E"/>
    <w:rsid w:val="71A8630C"/>
    <w:rsid w:val="71DD1973"/>
    <w:rsid w:val="71E03CD7"/>
    <w:rsid w:val="71F35AF6"/>
    <w:rsid w:val="71F75687"/>
    <w:rsid w:val="71FD0B25"/>
    <w:rsid w:val="72027382"/>
    <w:rsid w:val="72273A51"/>
    <w:rsid w:val="723C20A8"/>
    <w:rsid w:val="724C6E7D"/>
    <w:rsid w:val="729046BB"/>
    <w:rsid w:val="729C12FB"/>
    <w:rsid w:val="72F64E2A"/>
    <w:rsid w:val="72FA0051"/>
    <w:rsid w:val="7301721E"/>
    <w:rsid w:val="731F20C0"/>
    <w:rsid w:val="73351CBE"/>
    <w:rsid w:val="7369507E"/>
    <w:rsid w:val="73752104"/>
    <w:rsid w:val="73B70925"/>
    <w:rsid w:val="73C90E38"/>
    <w:rsid w:val="73CD17B8"/>
    <w:rsid w:val="74263147"/>
    <w:rsid w:val="74926B57"/>
    <w:rsid w:val="74C57BFF"/>
    <w:rsid w:val="74DF6386"/>
    <w:rsid w:val="74EE481B"/>
    <w:rsid w:val="74FC502E"/>
    <w:rsid w:val="75047B9A"/>
    <w:rsid w:val="752B6AF0"/>
    <w:rsid w:val="759C25BB"/>
    <w:rsid w:val="75B77AB7"/>
    <w:rsid w:val="75BA1227"/>
    <w:rsid w:val="75BA38EA"/>
    <w:rsid w:val="75C46E9E"/>
    <w:rsid w:val="75E82B6F"/>
    <w:rsid w:val="75F65282"/>
    <w:rsid w:val="764A3ADC"/>
    <w:rsid w:val="76E55F3C"/>
    <w:rsid w:val="76F77193"/>
    <w:rsid w:val="7731452D"/>
    <w:rsid w:val="77805331"/>
    <w:rsid w:val="77BF424C"/>
    <w:rsid w:val="78147CD1"/>
    <w:rsid w:val="781E544B"/>
    <w:rsid w:val="783A3C59"/>
    <w:rsid w:val="783C6A57"/>
    <w:rsid w:val="784527C6"/>
    <w:rsid w:val="7875385D"/>
    <w:rsid w:val="78A21576"/>
    <w:rsid w:val="78E34CED"/>
    <w:rsid w:val="792234B6"/>
    <w:rsid w:val="792D22AC"/>
    <w:rsid w:val="795D5ACB"/>
    <w:rsid w:val="79807890"/>
    <w:rsid w:val="79886CD2"/>
    <w:rsid w:val="79E25DCB"/>
    <w:rsid w:val="79E70F3D"/>
    <w:rsid w:val="79F826C8"/>
    <w:rsid w:val="7A174C89"/>
    <w:rsid w:val="7A63460A"/>
    <w:rsid w:val="7A7E74A3"/>
    <w:rsid w:val="7A9724DE"/>
    <w:rsid w:val="7AA02320"/>
    <w:rsid w:val="7AE460C9"/>
    <w:rsid w:val="7B4B0F97"/>
    <w:rsid w:val="7B580385"/>
    <w:rsid w:val="7B671BCF"/>
    <w:rsid w:val="7B735A7A"/>
    <w:rsid w:val="7B777056"/>
    <w:rsid w:val="7B9642CC"/>
    <w:rsid w:val="7BAF3A55"/>
    <w:rsid w:val="7BDC717B"/>
    <w:rsid w:val="7C0B3295"/>
    <w:rsid w:val="7C126E0D"/>
    <w:rsid w:val="7C4E1CB8"/>
    <w:rsid w:val="7C835822"/>
    <w:rsid w:val="7C8F243F"/>
    <w:rsid w:val="7C9057AB"/>
    <w:rsid w:val="7CA12173"/>
    <w:rsid w:val="7CE83F96"/>
    <w:rsid w:val="7CE87AB6"/>
    <w:rsid w:val="7D58667C"/>
    <w:rsid w:val="7DE6258B"/>
    <w:rsid w:val="7E0B3D48"/>
    <w:rsid w:val="7E207188"/>
    <w:rsid w:val="7E2748F9"/>
    <w:rsid w:val="7E310142"/>
    <w:rsid w:val="7E4D0D64"/>
    <w:rsid w:val="7E8FC26C"/>
    <w:rsid w:val="7E912033"/>
    <w:rsid w:val="7E9C29E8"/>
    <w:rsid w:val="7ED27129"/>
    <w:rsid w:val="7ED66103"/>
    <w:rsid w:val="7F007527"/>
    <w:rsid w:val="7F23A1A2"/>
    <w:rsid w:val="7F4B061A"/>
    <w:rsid w:val="7F682AA3"/>
    <w:rsid w:val="7F75661B"/>
    <w:rsid w:val="7F8D69DE"/>
    <w:rsid w:val="7F911521"/>
    <w:rsid w:val="7FBC357C"/>
    <w:rsid w:val="7FFF5855"/>
    <w:rsid w:val="7FFFFF34"/>
    <w:rsid w:val="A66FB1ED"/>
    <w:rsid w:val="AFEEC4FA"/>
    <w:rsid w:val="D6ED27EC"/>
    <w:rsid w:val="ECCF50DA"/>
    <w:rsid w:val="EFE5BAD4"/>
    <w:rsid w:val="EFF77F5E"/>
    <w:rsid w:val="F7FFFC7C"/>
    <w:rsid w:val="FBFFA666"/>
    <w:rsid w:val="FD9DB6EF"/>
    <w:rsid w:val="FE777459"/>
    <w:rsid w:val="FF77C65C"/>
    <w:rsid w:val="FFF6F583"/>
    <w:rsid w:val="FFFBCF6D"/>
    <w:rsid w:val="FFFF3ED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9"/>
    <w:pPr>
      <w:keepNext/>
      <w:keepLines/>
      <w:spacing w:before="260" w:after="260" w:line="416" w:lineRule="auto"/>
      <w:outlineLvl w:val="2"/>
    </w:pPr>
    <w:rPr>
      <w:b/>
      <w:bCs/>
      <w:kern w:val="0"/>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52"/>
    <w:qFormat/>
    <w:uiPriority w:val="99"/>
    <w:pPr>
      <w:jc w:val="left"/>
    </w:pPr>
  </w:style>
  <w:style w:type="paragraph" w:styleId="8">
    <w:name w:val="Body Text"/>
    <w:basedOn w:val="1"/>
    <w:unhideWhenUsed/>
    <w:qFormat/>
    <w:uiPriority w:val="99"/>
    <w:pPr>
      <w:ind w:left="148"/>
      <w:jc w:val="left"/>
    </w:pPr>
    <w:rPr>
      <w:rFonts w:ascii="仿宋_GB2312" w:hAnsi="仿宋_GB2312" w:eastAsia="仿宋_GB2312"/>
      <w:kern w:val="0"/>
      <w:sz w:val="32"/>
      <w:szCs w:val="32"/>
      <w:lang w:eastAsia="en-US"/>
    </w:rPr>
  </w:style>
  <w:style w:type="paragraph" w:styleId="9">
    <w:name w:val="Body Text Indent"/>
    <w:basedOn w:val="1"/>
    <w:unhideWhenUsed/>
    <w:qFormat/>
    <w:uiPriority w:val="99"/>
    <w:pPr>
      <w:spacing w:after="120"/>
      <w:ind w:left="420" w:leftChars="200"/>
    </w:pPr>
    <w:rPr>
      <w:rFonts w:ascii="Calibri" w:hAnsi="Calibri"/>
      <w:szCs w:val="24"/>
    </w:rPr>
  </w:style>
  <w:style w:type="paragraph" w:styleId="10">
    <w:name w:val="index 4"/>
    <w:basedOn w:val="1"/>
    <w:next w:val="1"/>
    <w:unhideWhenUsed/>
    <w:qFormat/>
    <w:uiPriority w:val="99"/>
    <w:pPr>
      <w:ind w:left="600" w:leftChars="600"/>
    </w:pPr>
    <w:rPr>
      <w:rFonts w:ascii="Verdana" w:hAnsi="Verdana"/>
      <w:szCs w:val="20"/>
    </w:rPr>
  </w:style>
  <w:style w:type="paragraph" w:styleId="11">
    <w:name w:val="toc 3"/>
    <w:basedOn w:val="1"/>
    <w:next w:val="1"/>
    <w:unhideWhenUsed/>
    <w:qFormat/>
    <w:uiPriority w:val="39"/>
    <w:pPr>
      <w:ind w:left="840" w:leftChars="400"/>
    </w:pPr>
  </w:style>
  <w:style w:type="paragraph" w:styleId="12">
    <w:name w:val="Plain Text"/>
    <w:basedOn w:val="1"/>
    <w:qFormat/>
    <w:uiPriority w:val="0"/>
    <w:rPr>
      <w:rFonts w:hAnsi="Courier New" w:cs="Courier New"/>
      <w:szCs w:val="21"/>
    </w:rPr>
  </w:style>
  <w:style w:type="paragraph" w:styleId="13">
    <w:name w:val="Date"/>
    <w:basedOn w:val="1"/>
    <w:next w:val="1"/>
    <w:link w:val="31"/>
    <w:unhideWhenUsed/>
    <w:qFormat/>
    <w:uiPriority w:val="99"/>
    <w:pPr>
      <w:ind w:left="100" w:leftChars="2500"/>
    </w:pPr>
  </w:style>
  <w:style w:type="paragraph" w:styleId="14">
    <w:name w:val="Balloon Text"/>
    <w:basedOn w:val="1"/>
    <w:link w:val="32"/>
    <w:unhideWhenUsed/>
    <w:qFormat/>
    <w:uiPriority w:val="99"/>
    <w:rPr>
      <w:kern w:val="0"/>
      <w:sz w:val="18"/>
      <w:szCs w:val="18"/>
    </w:rPr>
  </w:style>
  <w:style w:type="paragraph" w:styleId="15">
    <w:name w:val="footer"/>
    <w:basedOn w:val="1"/>
    <w:link w:val="33"/>
    <w:unhideWhenUsed/>
    <w:qFormat/>
    <w:uiPriority w:val="99"/>
    <w:pPr>
      <w:tabs>
        <w:tab w:val="center" w:pos="4153"/>
        <w:tab w:val="right" w:pos="8306"/>
      </w:tabs>
      <w:snapToGrid w:val="0"/>
      <w:jc w:val="left"/>
    </w:pPr>
    <w:rPr>
      <w:kern w:val="0"/>
      <w:sz w:val="18"/>
      <w:szCs w:val="18"/>
    </w:rPr>
  </w:style>
  <w:style w:type="paragraph" w:styleId="16">
    <w:name w:val="header"/>
    <w:basedOn w:val="1"/>
    <w:link w:val="3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link w:val="35"/>
    <w:qFormat/>
    <w:uiPriority w:val="39"/>
    <w:pPr>
      <w:tabs>
        <w:tab w:val="right" w:leader="middleDot" w:pos="8296"/>
      </w:tabs>
      <w:spacing w:beforeLines="50"/>
    </w:pPr>
    <w:rPr>
      <w:b/>
      <w:szCs w:val="24"/>
    </w:rPr>
  </w:style>
  <w:style w:type="paragraph" w:styleId="18">
    <w:name w:val="toc 2"/>
    <w:basedOn w:val="1"/>
    <w:next w:val="1"/>
    <w:qFormat/>
    <w:uiPriority w:val="39"/>
    <w:pPr>
      <w:tabs>
        <w:tab w:val="right" w:leader="middleDot" w:pos="8296"/>
      </w:tabs>
      <w:spacing w:line="360" w:lineRule="auto"/>
      <w:ind w:left="420" w:leftChars="200"/>
    </w:pPr>
    <w:rPr>
      <w:szCs w:val="24"/>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9"/>
    <w:unhideWhenUsed/>
    <w:qFormat/>
    <w:uiPriority w:val="99"/>
    <w:pPr>
      <w:ind w:firstLine="420"/>
    </w:p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Strong"/>
    <w:qFormat/>
    <w:uiPriority w:val="0"/>
    <w:rPr>
      <w:b/>
    </w:rPr>
  </w:style>
  <w:style w:type="character" w:styleId="25">
    <w:name w:val="page number"/>
    <w:qFormat/>
    <w:uiPriority w:val="0"/>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字符"/>
    <w:link w:val="2"/>
    <w:qFormat/>
    <w:uiPriority w:val="9"/>
    <w:rPr>
      <w:b/>
      <w:bCs/>
      <w:kern w:val="44"/>
      <w:sz w:val="44"/>
      <w:szCs w:val="44"/>
    </w:rPr>
  </w:style>
  <w:style w:type="character" w:customStyle="1" w:styleId="29">
    <w:name w:val="标题 2 字符"/>
    <w:link w:val="3"/>
    <w:qFormat/>
    <w:uiPriority w:val="9"/>
    <w:rPr>
      <w:rFonts w:ascii="Cambria" w:hAnsi="Cambria" w:eastAsia="宋体" w:cs="Times New Roman"/>
      <w:b/>
      <w:bCs/>
      <w:sz w:val="32"/>
      <w:szCs w:val="32"/>
    </w:rPr>
  </w:style>
  <w:style w:type="character" w:customStyle="1" w:styleId="30">
    <w:name w:val="标题 3 字符"/>
    <w:link w:val="4"/>
    <w:qFormat/>
    <w:uiPriority w:val="9"/>
    <w:rPr>
      <w:b/>
      <w:bCs/>
      <w:sz w:val="32"/>
      <w:szCs w:val="32"/>
    </w:rPr>
  </w:style>
  <w:style w:type="character" w:customStyle="1" w:styleId="31">
    <w:name w:val="日期 字符"/>
    <w:link w:val="13"/>
    <w:semiHidden/>
    <w:qFormat/>
    <w:uiPriority w:val="99"/>
    <w:rPr>
      <w:rFonts w:ascii="Calibri" w:hAnsi="Calibri"/>
      <w:kern w:val="2"/>
      <w:sz w:val="21"/>
      <w:szCs w:val="22"/>
    </w:rPr>
  </w:style>
  <w:style w:type="character" w:customStyle="1" w:styleId="32">
    <w:name w:val="批注框文本 字符"/>
    <w:link w:val="14"/>
    <w:semiHidden/>
    <w:qFormat/>
    <w:uiPriority w:val="99"/>
    <w:rPr>
      <w:sz w:val="18"/>
      <w:szCs w:val="18"/>
    </w:rPr>
  </w:style>
  <w:style w:type="character" w:customStyle="1" w:styleId="33">
    <w:name w:val="页脚 字符"/>
    <w:link w:val="15"/>
    <w:qFormat/>
    <w:uiPriority w:val="99"/>
    <w:rPr>
      <w:sz w:val="18"/>
      <w:szCs w:val="18"/>
    </w:rPr>
  </w:style>
  <w:style w:type="character" w:customStyle="1" w:styleId="34">
    <w:name w:val="页眉 字符"/>
    <w:link w:val="16"/>
    <w:qFormat/>
    <w:uiPriority w:val="99"/>
    <w:rPr>
      <w:sz w:val="18"/>
      <w:szCs w:val="18"/>
    </w:rPr>
  </w:style>
  <w:style w:type="character" w:customStyle="1" w:styleId="35">
    <w:name w:val="TOC 1 字符"/>
    <w:link w:val="17"/>
    <w:qFormat/>
    <w:uiPriority w:val="39"/>
    <w:rPr>
      <w:rFonts w:ascii="Times New Roman" w:hAnsi="Times New Roman"/>
      <w:b/>
      <w:szCs w:val="24"/>
    </w:rPr>
  </w:style>
  <w:style w:type="character" w:customStyle="1" w:styleId="36">
    <w:name w:val="font11"/>
    <w:qFormat/>
    <w:uiPriority w:val="0"/>
    <w:rPr>
      <w:rFonts w:hint="default" w:ascii="Calibri" w:hAnsi="Calibri" w:cs="Calibri"/>
      <w:color w:val="0000FF"/>
      <w:sz w:val="22"/>
      <w:szCs w:val="22"/>
      <w:u w:val="none"/>
    </w:rPr>
  </w:style>
  <w:style w:type="paragraph" w:customStyle="1" w:styleId="37">
    <w:name w:val="vsbcontent_sta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vsbcontent_end"/>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p0"/>
    <w:basedOn w:val="1"/>
    <w:qFormat/>
    <w:uiPriority w:val="0"/>
    <w:pPr>
      <w:widowControl/>
    </w:pPr>
    <w:rPr>
      <w:kern w:val="0"/>
      <w:szCs w:val="21"/>
    </w:rPr>
  </w:style>
  <w:style w:type="paragraph" w:customStyle="1" w:styleId="42">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43">
    <w:name w:val="List Paragraph"/>
    <w:basedOn w:val="1"/>
    <w:qFormat/>
    <w:uiPriority w:val="34"/>
    <w:pPr>
      <w:ind w:firstLine="420" w:firstLineChars="200"/>
    </w:pPr>
    <w:rPr>
      <w:rFonts w:ascii="Calibri" w:hAnsi="Calibri"/>
    </w:rPr>
  </w:style>
  <w:style w:type="paragraph" w:customStyle="1" w:styleId="44">
    <w:name w:val="列表段落1"/>
    <w:basedOn w:val="1"/>
    <w:qFormat/>
    <w:uiPriority w:val="34"/>
    <w:pPr>
      <w:ind w:firstLine="420" w:firstLineChars="200"/>
    </w:pPr>
  </w:style>
  <w:style w:type="character" w:customStyle="1" w:styleId="45">
    <w:name w:val="font51"/>
    <w:qFormat/>
    <w:uiPriority w:val="0"/>
    <w:rPr>
      <w:rFonts w:hint="eastAsia" w:ascii="宋体" w:hAnsi="宋体" w:eastAsia="宋体" w:cs="宋体"/>
      <w:color w:val="000000"/>
      <w:sz w:val="22"/>
      <w:szCs w:val="22"/>
      <w:u w:val="none"/>
    </w:rPr>
  </w:style>
  <w:style w:type="paragraph" w:customStyle="1" w:styleId="46">
    <w:name w:val="列表段落2"/>
    <w:basedOn w:val="1"/>
    <w:qFormat/>
    <w:uiPriority w:val="34"/>
    <w:pPr>
      <w:ind w:firstLine="420" w:firstLineChars="200"/>
    </w:pPr>
  </w:style>
  <w:style w:type="character" w:customStyle="1" w:styleId="47">
    <w:name w:val="font21"/>
    <w:qFormat/>
    <w:uiPriority w:val="0"/>
    <w:rPr>
      <w:rFonts w:hint="default" w:ascii="Calibri" w:hAnsi="Calibri" w:cs="Calibri"/>
      <w:color w:val="0000D4"/>
      <w:sz w:val="22"/>
      <w:szCs w:val="22"/>
      <w:u w:val="none"/>
    </w:rPr>
  </w:style>
  <w:style w:type="character" w:customStyle="1" w:styleId="48">
    <w:name w:val="font41"/>
    <w:qFormat/>
    <w:uiPriority w:val="0"/>
    <w:rPr>
      <w:rFonts w:hint="default" w:ascii="Calibri" w:hAnsi="Calibri" w:cs="Calibri"/>
      <w:color w:val="0000FF"/>
      <w:sz w:val="22"/>
      <w:szCs w:val="22"/>
      <w:u w:val="none"/>
    </w:rPr>
  </w:style>
  <w:style w:type="character" w:customStyle="1" w:styleId="49">
    <w:name w:val="font31"/>
    <w:basedOn w:val="23"/>
    <w:qFormat/>
    <w:uiPriority w:val="0"/>
    <w:rPr>
      <w:rFonts w:ascii="宋体" w:hAnsi="宋体" w:eastAsia="宋体" w:cs="宋体"/>
      <w:color w:val="000000"/>
      <w:sz w:val="18"/>
      <w:szCs w:val="18"/>
      <w:u w:val="none"/>
    </w:rPr>
  </w:style>
  <w:style w:type="character" w:customStyle="1" w:styleId="50">
    <w:name w:val="font71"/>
    <w:basedOn w:val="23"/>
    <w:qFormat/>
    <w:uiPriority w:val="0"/>
    <w:rPr>
      <w:rFonts w:ascii="宋体" w:hAnsi="宋体" w:eastAsia="宋体" w:cs="宋体"/>
      <w:b/>
      <w:bCs/>
      <w:color w:val="FFFFFF"/>
      <w:sz w:val="18"/>
      <w:szCs w:val="18"/>
      <w:u w:val="none"/>
    </w:rPr>
  </w:style>
  <w:style w:type="character" w:customStyle="1" w:styleId="51">
    <w:name w:val="font81"/>
    <w:basedOn w:val="23"/>
    <w:qFormat/>
    <w:uiPriority w:val="0"/>
    <w:rPr>
      <w:rFonts w:ascii="宋体" w:hAnsi="宋体" w:eastAsia="宋体" w:cs="宋体"/>
      <w:color w:val="000000"/>
      <w:sz w:val="18"/>
      <w:szCs w:val="18"/>
      <w:u w:val="none"/>
    </w:rPr>
  </w:style>
  <w:style w:type="character" w:customStyle="1" w:styleId="52">
    <w:name w:val="批注文字 字符"/>
    <w:basedOn w:val="23"/>
    <w:link w:val="7"/>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customXml" Target="../customXml/item1.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5"/>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484402318216968"/>
                  <c:y val="0.1308996391254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11.7%</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32800915175287"/>
                  <c:y val="0.081967466780655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12.77%</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3618402927908"/>
                  <c:y val="-0.13207297039498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19.15%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72465115296169"/>
                  <c:y val="-0.064066802081095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56.38%</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完全对口</c:v>
                </c:pt>
                <c:pt idx="1">
                  <c:v>基本对口</c:v>
                </c:pt>
                <c:pt idx="2">
                  <c:v>有所关联</c:v>
                </c:pt>
                <c:pt idx="3">
                  <c:v>不对口</c:v>
                </c:pt>
              </c:strCache>
            </c:strRef>
          </c:cat>
          <c:val>
            <c:numRef>
              <c:f>Sheet1!$B$2:$B$5</c:f>
              <c:numCache>
                <c:formatCode>General</c:formatCode>
                <c:ptCount val="4"/>
                <c:pt idx="0">
                  <c:v>11.7</c:v>
                </c:pt>
                <c:pt idx="1">
                  <c:v>12.77</c:v>
                </c:pt>
                <c:pt idx="2">
                  <c:v>19.15</c:v>
                </c:pt>
                <c:pt idx="3">
                  <c:v>56.38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5"/>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76864889355943"/>
                  <c:y val="0.091746117847519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32.30</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34036984368092"/>
                  <c:y val="-0.21972495411706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59.15</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650146008579063"/>
                  <c:y val="0.227050781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a:t>
                    </a:r>
                    <a:r>
                      <a:rPr lang="en-US"/>
                      <a:t>5</a:t>
                    </a:r>
                    <a:r>
                      <a:rPr lang="en-US" altLang="zh-CN"/>
                      <a:t>7</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254902294514201"/>
                  <c:y val="0.06835937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2.98</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104166666666667"/>
                      <c:h val="0.115526122148639"/>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非常满意</c:v>
                </c:pt>
                <c:pt idx="1">
                  <c:v>比较满意</c:v>
                </c:pt>
                <c:pt idx="2">
                  <c:v>一般满意</c:v>
                </c:pt>
                <c:pt idx="3">
                  <c:v>不满意</c:v>
                </c:pt>
              </c:strCache>
            </c:strRef>
          </c:cat>
          <c:val>
            <c:numRef>
              <c:f>Sheet1!$B$2:$B$5</c:f>
              <c:numCache>
                <c:formatCode>0.00%</c:formatCode>
                <c:ptCount val="4"/>
                <c:pt idx="0">
                  <c:v>0.323</c:v>
                </c:pt>
                <c:pt idx="1">
                  <c:v>0.5915</c:v>
                </c:pt>
                <c:pt idx="2">
                  <c:v>0.0557</c:v>
                </c:pt>
                <c:pt idx="3">
                  <c:v>0.0298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5"/>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65040415927251"/>
                  <c:y val="0.08100468114222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38.10</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58478531323199"/>
                  <c:y val="-0.16225522229497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57.14</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62580849268841"/>
                  <c:y val="0.09067891072809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4.76</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manualLayout>
                      <c:w val="0.0794495219347581"/>
                      <c:h val="0.0815367222673992"/>
                    </c:manualLayout>
                  </c15:layout>
                </c:ext>
              </c:extLst>
            </c:dLbl>
            <c:dLbl>
              <c:idx val="3"/>
              <c:layout>
                <c:manualLayout>
                  <c:x val="0.0466596534980715"/>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0.00</a:t>
                    </a:r>
                    <a:r>
                      <a:rPr lang="en-US"/>
                      <a:t>%</a:t>
                    </a:r>
                    <a:endParaRPr lang="en-US"/>
                  </a:p>
                </c:rich>
              </c:tx>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非常满意</c:v>
                </c:pt>
                <c:pt idx="1">
                  <c:v>比较满意</c:v>
                </c:pt>
                <c:pt idx="2">
                  <c:v>一般满意</c:v>
                </c:pt>
                <c:pt idx="3">
                  <c:v>不满意</c:v>
                </c:pt>
              </c:strCache>
            </c:strRef>
          </c:cat>
          <c:val>
            <c:numRef>
              <c:f>Sheet1!$B$2:$B$5</c:f>
              <c:numCache>
                <c:formatCode>0.00%</c:formatCode>
                <c:ptCount val="4"/>
                <c:pt idx="0">
                  <c:v>0.381</c:v>
                </c:pt>
                <c:pt idx="1">
                  <c:v>0.5714</c:v>
                </c:pt>
                <c:pt idx="2">
                  <c:v>0.0476</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58FAD-F0BF-4D49-8235-D0C09C08A54E}">
  <ds:schemaRefs/>
</ds:datastoreItem>
</file>

<file path=docProps/app.xml><?xml version="1.0" encoding="utf-8"?>
<Properties xmlns="http://schemas.openxmlformats.org/officeDocument/2006/extended-properties" xmlns:vt="http://schemas.openxmlformats.org/officeDocument/2006/docPropsVTypes">
  <Template>Normal</Template>
  <Pages>33</Pages>
  <Words>4511</Words>
  <Characters>25715</Characters>
  <Lines>214</Lines>
  <Paragraphs>60</Paragraphs>
  <TotalTime>196</TotalTime>
  <ScaleCrop>false</ScaleCrop>
  <LinksUpToDate>false</LinksUpToDate>
  <CharactersWithSpaces>30166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2023-11-26T09:02:00Z</dcterms:created>
  <dc:creator>lenovo</dc:creator>
  <cp:lastModifiedBy>lenovo</cp:lastModifiedBy>
  <cp:lastPrinted>2023-11-30T22:45:00Z</cp:lastPrinted>
  <dcterms:modified xsi:type="dcterms:W3CDTF">2023-12-06T00:44:13Z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7C78469FA6774E78B84F5CD7C6430F65_13</vt:lpwstr>
  </property>
</Properties>
</file>