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F9E4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40"/>
          <w:szCs w:val="48"/>
          <w:highlight w:val="none"/>
          <w:lang w:eastAsia="zh-CN"/>
        </w:rPr>
      </w:pPr>
      <w:r>
        <w:rPr>
          <w:rFonts w:hint="eastAsia" w:ascii="黑体" w:hAnsi="黑体" w:eastAsia="黑体" w:cs="黑体"/>
          <w:color w:val="auto"/>
          <w:sz w:val="40"/>
          <w:szCs w:val="48"/>
          <w:highlight w:val="none"/>
          <w:lang w:eastAsia="zh-CN"/>
        </w:rPr>
        <w:t>安徽医科大学临床医学院</w:t>
      </w:r>
      <w:r>
        <w:rPr>
          <w:rFonts w:hint="eastAsia" w:ascii="黑体" w:hAnsi="黑体" w:eastAsia="黑体" w:cs="黑体"/>
          <w:color w:val="auto"/>
          <w:sz w:val="40"/>
          <w:szCs w:val="48"/>
          <w:highlight w:val="none"/>
          <w:lang w:val="en-US" w:eastAsia="zh-CN"/>
        </w:rPr>
        <w:t>2023年度</w:t>
      </w:r>
      <w:r>
        <w:rPr>
          <w:rFonts w:hint="eastAsia" w:ascii="黑体" w:hAnsi="黑体" w:eastAsia="黑体" w:cs="黑体"/>
          <w:color w:val="auto"/>
          <w:sz w:val="40"/>
          <w:szCs w:val="48"/>
          <w:highlight w:val="none"/>
          <w:lang w:eastAsia="zh-CN"/>
        </w:rPr>
        <w:t>年终工作总结</w:t>
      </w:r>
    </w:p>
    <w:p w14:paraId="44048C8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40"/>
          <w:szCs w:val="48"/>
          <w:highlight w:val="none"/>
          <w:lang w:eastAsia="zh-CN"/>
        </w:rPr>
      </w:pPr>
    </w:p>
    <w:p w14:paraId="735302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安徽医科大学临床医学院在集团和安徽医科大学的共同领导下，全面贯彻党的二十大精神，深入学习贯彻习近平新时代中国特色社会主义思想，坚决落实立德树人根本任务，以强化理论学习指导发展实践，以深入调查研究促进问题解决，以严管厚爱并重提振队伍士气，以务实干事担当增强师生体验。一年来，全体教职员工对照学院年度工作要点，团结一心、砥砺奋进，推动学院发展呈现进中向好的态势。</w:t>
      </w:r>
    </w:p>
    <w:p w14:paraId="79D1823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6"/>
          <w:szCs w:val="44"/>
          <w:highlight w:val="none"/>
          <w:lang w:eastAsia="zh-CN"/>
        </w:rPr>
      </w:pPr>
      <w:r>
        <w:rPr>
          <w:rFonts w:hint="eastAsia" w:ascii="黑体" w:hAnsi="黑体" w:eastAsia="黑体" w:cs="黑体"/>
          <w:color w:val="auto"/>
          <w:sz w:val="36"/>
          <w:szCs w:val="44"/>
          <w:highlight w:val="none"/>
          <w:lang w:eastAsia="zh-CN"/>
        </w:rPr>
        <w:t>第一部分</w:t>
      </w:r>
      <w:r>
        <w:rPr>
          <w:rFonts w:hint="eastAsia" w:ascii="黑体" w:hAnsi="黑体" w:eastAsia="黑体" w:cs="黑体"/>
          <w:color w:val="auto"/>
          <w:sz w:val="36"/>
          <w:szCs w:val="44"/>
          <w:highlight w:val="none"/>
          <w:lang w:val="en-US" w:eastAsia="zh-CN"/>
        </w:rPr>
        <w:t xml:space="preserve">  </w:t>
      </w:r>
      <w:r>
        <w:rPr>
          <w:rFonts w:hint="eastAsia" w:ascii="黑体" w:hAnsi="黑体" w:eastAsia="黑体" w:cs="黑体"/>
          <w:color w:val="auto"/>
          <w:sz w:val="36"/>
          <w:szCs w:val="44"/>
          <w:highlight w:val="none"/>
          <w:lang w:eastAsia="zh-CN"/>
        </w:rPr>
        <w:t>20</w:t>
      </w:r>
      <w:r>
        <w:rPr>
          <w:rFonts w:hint="eastAsia" w:ascii="黑体" w:hAnsi="黑体" w:eastAsia="黑体" w:cs="黑体"/>
          <w:color w:val="auto"/>
          <w:sz w:val="36"/>
          <w:szCs w:val="44"/>
          <w:highlight w:val="none"/>
          <w:lang w:val="en-US" w:eastAsia="zh-CN"/>
        </w:rPr>
        <w:t>23</w:t>
      </w:r>
      <w:r>
        <w:rPr>
          <w:rFonts w:hint="eastAsia" w:ascii="黑体" w:hAnsi="黑体" w:eastAsia="黑体" w:cs="黑体"/>
          <w:color w:val="auto"/>
          <w:sz w:val="36"/>
          <w:szCs w:val="44"/>
          <w:highlight w:val="none"/>
          <w:lang w:eastAsia="zh-CN"/>
        </w:rPr>
        <w:t>年工作总结</w:t>
      </w:r>
    </w:p>
    <w:p w14:paraId="0C27FA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eastAsia="zh-CN"/>
        </w:rPr>
        <w:t>一、主要工作成绩</w:t>
      </w:r>
    </w:p>
    <w:p w14:paraId="012FFE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（一）生源质量进一步提高</w:t>
      </w:r>
    </w:p>
    <w:p w14:paraId="2D60D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新增浙江、山东、河南3个招生省份。招生计划合计增长7.5%。安徽省文科录取超省控线29分，为历年最高；理科录取分在全省同类院校排名第一，投档最低分排名较去年同期上升9379位。一本线上生源182人，超近三年总和。</w:t>
      </w:r>
      <w:r>
        <w:rPr>
          <w:rFonts w:hint="eastAsia" w:ascii="仿宋" w:hAnsi="仿宋" w:eastAsia="仿宋" w:cs="仿宋"/>
          <w:b w:val="0"/>
          <w:bCs w:val="0"/>
          <w:color w:val="auto"/>
          <w:sz w:val="32"/>
          <w:szCs w:val="32"/>
          <w:highlight w:val="none"/>
          <w:lang w:val="en-US" w:eastAsia="zh-CN"/>
        </w:rPr>
        <w:t>专升本报到率99.01%，普通本科报到率98.78%，综合报到率98.87%，创历史新高。</w:t>
      </w:r>
    </w:p>
    <w:p w14:paraId="16025C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（二）医学内涵建设进一步深化</w:t>
      </w:r>
    </w:p>
    <w:p w14:paraId="34621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bCs/>
          <w:color w:val="auto"/>
          <w:kern w:val="2"/>
          <w:sz w:val="32"/>
          <w:szCs w:val="32"/>
          <w:highlight w:val="none"/>
          <w:lang w:val="en-US" w:eastAsia="zh-CN" w:bidi="ar-SA"/>
        </w:rPr>
      </w:pPr>
      <w:r>
        <w:rPr>
          <w:rFonts w:hint="default" w:ascii="仿宋" w:hAnsi="仿宋" w:eastAsia="仿宋" w:cs="仿宋"/>
          <w:b w:val="0"/>
          <w:bCs w:val="0"/>
          <w:i w:val="0"/>
          <w:strike w:val="0"/>
          <w:color w:val="auto"/>
          <w:sz w:val="32"/>
          <w:szCs w:val="32"/>
          <w:highlight w:val="none"/>
          <w:u w:val="none"/>
          <w:lang w:val="en-US" w:eastAsia="zh-CN"/>
        </w:rPr>
        <w:t>获批省级卓越医师、卓越护士、卓越生物医学工程师培养计划</w:t>
      </w:r>
      <w:r>
        <w:rPr>
          <w:rFonts w:hint="eastAsia" w:ascii="仿宋" w:hAnsi="仿宋" w:eastAsia="仿宋" w:cs="仿宋"/>
          <w:b w:val="0"/>
          <w:bCs w:val="0"/>
          <w:i w:val="0"/>
          <w:strike w:val="0"/>
          <w:color w:val="auto"/>
          <w:sz w:val="32"/>
          <w:szCs w:val="32"/>
          <w:highlight w:val="none"/>
          <w:u w:val="none"/>
          <w:lang w:val="en-US" w:eastAsia="zh-CN"/>
        </w:rPr>
        <w:t>。</w:t>
      </w:r>
      <w:r>
        <w:rPr>
          <w:rFonts w:hint="default" w:ascii="仿宋" w:hAnsi="仿宋" w:eastAsia="仿宋" w:cs="仿宋"/>
          <w:b w:val="0"/>
          <w:bCs w:val="0"/>
          <w:i w:val="0"/>
          <w:strike w:val="0"/>
          <w:color w:val="auto"/>
          <w:sz w:val="32"/>
          <w:szCs w:val="32"/>
          <w:highlight w:val="none"/>
          <w:u w:val="none"/>
          <w:lang w:val="en-US" w:eastAsia="zh-CN"/>
        </w:rPr>
        <w:t>立项省级高水平公卫学院、省级健康医疗大数据人才培养基地</w:t>
      </w:r>
      <w:r>
        <w:rPr>
          <w:rFonts w:hint="eastAsia" w:ascii="仿宋" w:hAnsi="仿宋" w:eastAsia="仿宋" w:cs="仿宋"/>
          <w:b w:val="0"/>
          <w:bCs w:val="0"/>
          <w:i w:val="0"/>
          <w:strike w:val="0"/>
          <w:color w:val="auto"/>
          <w:sz w:val="32"/>
          <w:szCs w:val="32"/>
          <w:highlight w:val="none"/>
          <w:u w:val="none"/>
          <w:lang w:val="en-US" w:eastAsia="zh-CN"/>
        </w:rPr>
        <w:t>。</w:t>
      </w:r>
      <w:r>
        <w:rPr>
          <w:rFonts w:hint="default" w:ascii="仿宋" w:hAnsi="仿宋" w:eastAsia="仿宋" w:cs="仿宋"/>
          <w:b w:val="0"/>
          <w:bCs w:val="0"/>
          <w:i w:val="0"/>
          <w:strike w:val="0"/>
          <w:color w:val="auto"/>
          <w:sz w:val="32"/>
          <w:szCs w:val="32"/>
          <w:highlight w:val="none"/>
          <w:u w:val="none"/>
          <w:lang w:val="en-US" w:eastAsia="zh-CN"/>
        </w:rPr>
        <w:t>《生理学》《基础护理学》《内科护理学》获批教育部在线教育研究中心“拓金计划”示范课程，新增《外科学》《医学英语》等7门省级一流课程。</w:t>
      </w:r>
      <w:r>
        <w:rPr>
          <w:rFonts w:hint="eastAsia" w:ascii="仿宋" w:hAnsi="仿宋" w:eastAsia="仿宋" w:cs="仿宋"/>
          <w:b w:val="0"/>
          <w:bCs w:val="0"/>
          <w:i w:val="0"/>
          <w:strike w:val="0"/>
          <w:color w:val="auto"/>
          <w:sz w:val="32"/>
          <w:szCs w:val="32"/>
          <w:highlight w:val="none"/>
          <w:u w:val="none"/>
          <w:lang w:val="en-US" w:eastAsia="zh-CN"/>
        </w:rPr>
        <w:t>遴选教师</w:t>
      </w:r>
      <w:r>
        <w:rPr>
          <w:rFonts w:hint="default" w:ascii="仿宋" w:hAnsi="仿宋" w:eastAsia="仿宋" w:cs="仿宋"/>
          <w:b w:val="0"/>
          <w:bCs w:val="0"/>
          <w:i w:val="0"/>
          <w:strike w:val="0"/>
          <w:color w:val="auto"/>
          <w:sz w:val="32"/>
          <w:szCs w:val="32"/>
          <w:highlight w:val="none"/>
          <w:u w:val="none"/>
          <w:lang w:val="en-US" w:eastAsia="zh-CN"/>
        </w:rPr>
        <w:t>参加首届</w:t>
      </w:r>
      <w:r>
        <w:rPr>
          <w:rFonts w:hint="eastAsia" w:ascii="仿宋" w:hAnsi="仿宋" w:eastAsia="仿宋" w:cs="仿宋"/>
          <w:b w:val="0"/>
          <w:bCs w:val="0"/>
          <w:i w:val="0"/>
          <w:strike w:val="0"/>
          <w:color w:val="auto"/>
          <w:sz w:val="32"/>
          <w:szCs w:val="32"/>
          <w:highlight w:val="none"/>
          <w:u w:val="none"/>
          <w:lang w:val="en-US" w:eastAsia="zh-CN"/>
        </w:rPr>
        <w:t>“安徽省高校实验室安全技能大赛”获二等奖</w:t>
      </w:r>
      <w:r>
        <w:rPr>
          <w:rFonts w:hint="default" w:ascii="仿宋" w:hAnsi="仿宋" w:eastAsia="仿宋" w:cs="仿宋"/>
          <w:b w:val="0"/>
          <w:bCs w:val="0"/>
          <w:i w:val="0"/>
          <w:strike w:val="0"/>
          <w:color w:val="auto"/>
          <w:sz w:val="32"/>
          <w:szCs w:val="32"/>
          <w:highlight w:val="none"/>
          <w:u w:val="none"/>
          <w:lang w:val="en-US" w:eastAsia="zh-CN"/>
        </w:rPr>
        <w:t>、</w:t>
      </w:r>
      <w:r>
        <w:rPr>
          <w:rFonts w:hint="eastAsia" w:ascii="仿宋" w:hAnsi="仿宋" w:eastAsia="仿宋" w:cs="仿宋"/>
          <w:b w:val="0"/>
          <w:bCs w:val="0"/>
          <w:i w:val="0"/>
          <w:strike w:val="0"/>
          <w:color w:val="auto"/>
          <w:sz w:val="32"/>
          <w:szCs w:val="32"/>
          <w:highlight w:val="none"/>
          <w:u w:val="none"/>
          <w:lang w:val="en-US" w:eastAsia="zh-CN"/>
        </w:rPr>
        <w:t>参加</w:t>
      </w:r>
      <w:r>
        <w:rPr>
          <w:rFonts w:hint="default" w:ascii="仿宋" w:hAnsi="仿宋" w:eastAsia="仿宋" w:cs="仿宋"/>
          <w:b w:val="0"/>
          <w:bCs w:val="0"/>
          <w:i w:val="0"/>
          <w:strike w:val="0"/>
          <w:color w:val="auto"/>
          <w:sz w:val="32"/>
          <w:szCs w:val="32"/>
          <w:highlight w:val="none"/>
          <w:u w:val="none"/>
          <w:lang w:val="en-US" w:eastAsia="zh-CN"/>
        </w:rPr>
        <w:t>安徽省高等医学教育合作委员会2023年度虚拟仿真创新应用大赛</w:t>
      </w:r>
      <w:r>
        <w:rPr>
          <w:rFonts w:hint="eastAsia" w:ascii="仿宋" w:hAnsi="仿宋" w:eastAsia="仿宋" w:cs="仿宋"/>
          <w:b w:val="0"/>
          <w:bCs w:val="0"/>
          <w:i w:val="0"/>
          <w:strike w:val="0"/>
          <w:color w:val="auto"/>
          <w:sz w:val="32"/>
          <w:szCs w:val="32"/>
          <w:highlight w:val="none"/>
          <w:u w:val="none"/>
          <w:lang w:val="en-US" w:eastAsia="zh-CN"/>
        </w:rPr>
        <w:t>获</w:t>
      </w:r>
      <w:r>
        <w:rPr>
          <w:rFonts w:hint="default" w:ascii="仿宋" w:hAnsi="仿宋" w:eastAsia="仿宋" w:cs="仿宋"/>
          <w:b w:val="0"/>
          <w:bCs w:val="0"/>
          <w:i w:val="0"/>
          <w:strike w:val="0"/>
          <w:color w:val="auto"/>
          <w:sz w:val="32"/>
          <w:szCs w:val="32"/>
          <w:highlight w:val="none"/>
          <w:u w:val="none"/>
          <w:lang w:val="en-US" w:eastAsia="zh-CN"/>
        </w:rPr>
        <w:t>二等奖</w:t>
      </w:r>
      <w:r>
        <w:rPr>
          <w:rFonts w:hint="eastAsia" w:ascii="仿宋" w:hAnsi="仿宋" w:eastAsia="仿宋" w:cs="仿宋"/>
          <w:b w:val="0"/>
          <w:bCs w:val="0"/>
          <w:i w:val="0"/>
          <w:strike w:val="0"/>
          <w:color w:val="auto"/>
          <w:sz w:val="32"/>
          <w:szCs w:val="32"/>
          <w:highlight w:val="none"/>
          <w:u w:val="none"/>
          <w:lang w:val="en-US" w:eastAsia="zh-CN"/>
        </w:rPr>
        <w:t>，在</w:t>
      </w:r>
      <w:r>
        <w:rPr>
          <w:rFonts w:hint="default" w:ascii="仿宋" w:hAnsi="仿宋" w:eastAsia="仿宋" w:cs="仿宋"/>
          <w:b w:val="0"/>
          <w:bCs w:val="0"/>
          <w:i w:val="0"/>
          <w:strike w:val="0"/>
          <w:color w:val="auto"/>
          <w:sz w:val="32"/>
          <w:szCs w:val="32"/>
          <w:highlight w:val="none"/>
          <w:u w:val="none"/>
          <w:lang w:val="en-US" w:eastAsia="zh-CN"/>
        </w:rPr>
        <w:t>安徽省</w:t>
      </w:r>
      <w:r>
        <w:rPr>
          <w:rFonts w:hint="eastAsia" w:ascii="仿宋" w:hAnsi="仿宋" w:eastAsia="仿宋" w:cs="仿宋"/>
          <w:b w:val="0"/>
          <w:bCs w:val="0"/>
          <w:i w:val="0"/>
          <w:strike w:val="0"/>
          <w:color w:val="auto"/>
          <w:sz w:val="32"/>
          <w:szCs w:val="32"/>
          <w:highlight w:val="none"/>
          <w:u w:val="none"/>
          <w:lang w:val="en-US" w:eastAsia="zh-CN"/>
        </w:rPr>
        <w:t>青年教师教学竞赛</w:t>
      </w:r>
      <w:r>
        <w:rPr>
          <w:rFonts w:hint="default" w:ascii="仿宋" w:hAnsi="仿宋" w:eastAsia="仿宋" w:cs="仿宋"/>
          <w:b w:val="0"/>
          <w:bCs w:val="0"/>
          <w:i w:val="0"/>
          <w:strike w:val="0"/>
          <w:color w:val="auto"/>
          <w:sz w:val="32"/>
          <w:szCs w:val="32"/>
          <w:highlight w:val="none"/>
          <w:u w:val="none"/>
          <w:lang w:val="en-US" w:eastAsia="zh-CN"/>
        </w:rPr>
        <w:t>和</w:t>
      </w:r>
      <w:r>
        <w:rPr>
          <w:rFonts w:hint="eastAsia" w:ascii="仿宋" w:hAnsi="仿宋" w:eastAsia="仿宋" w:cs="仿宋"/>
          <w:b w:val="0"/>
          <w:bCs w:val="0"/>
          <w:i w:val="0"/>
          <w:strike w:val="0"/>
          <w:color w:val="auto"/>
          <w:sz w:val="32"/>
          <w:szCs w:val="32"/>
          <w:highlight w:val="none"/>
          <w:u w:val="none"/>
          <w:lang w:val="en-US" w:eastAsia="zh-CN"/>
        </w:rPr>
        <w:t>高校教师教学创新大赛</w:t>
      </w:r>
      <w:r>
        <w:rPr>
          <w:rFonts w:hint="default" w:ascii="仿宋" w:hAnsi="仿宋" w:eastAsia="仿宋" w:cs="仿宋"/>
          <w:b w:val="0"/>
          <w:bCs w:val="0"/>
          <w:i w:val="0"/>
          <w:strike w:val="0"/>
          <w:color w:val="auto"/>
          <w:sz w:val="32"/>
          <w:szCs w:val="32"/>
          <w:highlight w:val="none"/>
          <w:u w:val="none"/>
          <w:lang w:val="en-US" w:eastAsia="zh-CN"/>
        </w:rPr>
        <w:t>（医科组）</w:t>
      </w:r>
      <w:r>
        <w:rPr>
          <w:rFonts w:hint="eastAsia" w:ascii="仿宋" w:hAnsi="仿宋" w:eastAsia="仿宋" w:cs="仿宋"/>
          <w:b w:val="0"/>
          <w:bCs w:val="0"/>
          <w:i w:val="0"/>
          <w:strike w:val="0"/>
          <w:color w:val="auto"/>
          <w:sz w:val="32"/>
          <w:szCs w:val="32"/>
          <w:highlight w:val="none"/>
          <w:u w:val="none"/>
          <w:lang w:val="en-US" w:eastAsia="zh-CN"/>
        </w:rPr>
        <w:t>中获三等奖</w:t>
      </w:r>
      <w:r>
        <w:rPr>
          <w:rFonts w:hint="default" w:ascii="仿宋" w:hAnsi="仿宋" w:eastAsia="仿宋" w:cs="仿宋"/>
          <w:b w:val="0"/>
          <w:bCs w:val="0"/>
          <w:i w:val="0"/>
          <w:strike w:val="0"/>
          <w:color w:val="auto"/>
          <w:sz w:val="32"/>
          <w:szCs w:val="32"/>
          <w:highlight w:val="none"/>
          <w:u w:val="none"/>
          <w:lang w:val="en-US" w:eastAsia="zh-CN"/>
        </w:rPr>
        <w:t>4</w:t>
      </w:r>
      <w:r>
        <w:rPr>
          <w:rFonts w:hint="eastAsia" w:ascii="仿宋" w:hAnsi="仿宋" w:eastAsia="仿宋" w:cs="仿宋"/>
          <w:b w:val="0"/>
          <w:bCs w:val="0"/>
          <w:i w:val="0"/>
          <w:strike w:val="0"/>
          <w:color w:val="auto"/>
          <w:sz w:val="32"/>
          <w:szCs w:val="32"/>
          <w:highlight w:val="none"/>
          <w:u w:val="none"/>
          <w:lang w:val="en-US" w:eastAsia="zh-CN"/>
        </w:rPr>
        <w:t>项</w:t>
      </w:r>
      <w:r>
        <w:rPr>
          <w:rFonts w:hint="default" w:ascii="仿宋" w:hAnsi="仿宋" w:eastAsia="仿宋" w:cs="仿宋"/>
          <w:b w:val="0"/>
          <w:bCs w:val="0"/>
          <w:i w:val="0"/>
          <w:strike w:val="0"/>
          <w:color w:val="auto"/>
          <w:sz w:val="32"/>
          <w:szCs w:val="32"/>
          <w:highlight w:val="none"/>
          <w:u w:val="none"/>
          <w:lang w:val="en-US" w:eastAsia="zh-CN"/>
        </w:rPr>
        <w:t>。新增省级临床技能实验实训中心、省级人体解剖实验实训中心。</w:t>
      </w:r>
    </w:p>
    <w:p w14:paraId="776B0A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（三）人才培养成效进一步彰显</w:t>
      </w:r>
    </w:p>
    <w:p w14:paraId="1D9ABFB2">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color w:val="auto"/>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实施“医学前沿、医学人文、医学生修炼”三大讲堂，全年开展讲座104场。</w:t>
      </w:r>
      <w:r>
        <w:rPr>
          <w:rFonts w:hint="default" w:ascii="仿宋" w:hAnsi="仿宋" w:eastAsia="仿宋" w:cs="仿宋"/>
          <w:b w:val="0"/>
          <w:bCs w:val="0"/>
          <w:color w:val="auto"/>
          <w:kern w:val="2"/>
          <w:sz w:val="32"/>
          <w:szCs w:val="32"/>
          <w:highlight w:val="none"/>
          <w:lang w:val="en-US" w:eastAsia="zh-CN" w:bidi="ar-SA"/>
        </w:rPr>
        <w:t>组织学生参加国家级</w:t>
      </w:r>
      <w:r>
        <w:rPr>
          <w:rFonts w:hint="default" w:ascii="仿宋" w:hAnsi="仿宋" w:cs="仿宋"/>
          <w:b w:val="0"/>
          <w:bCs w:val="0"/>
          <w:color w:val="auto"/>
          <w:kern w:val="2"/>
          <w:sz w:val="32"/>
          <w:szCs w:val="32"/>
          <w:highlight w:val="none"/>
          <w:lang w:eastAsia="zh-CN" w:bidi="ar-SA"/>
        </w:rPr>
        <w:t>、</w:t>
      </w:r>
      <w:r>
        <w:rPr>
          <w:rFonts w:hint="default" w:ascii="仿宋" w:hAnsi="仿宋" w:eastAsia="仿宋" w:cs="仿宋"/>
          <w:b w:val="0"/>
          <w:bCs w:val="0"/>
          <w:color w:val="auto"/>
          <w:kern w:val="2"/>
          <w:sz w:val="32"/>
          <w:szCs w:val="32"/>
          <w:highlight w:val="none"/>
          <w:lang w:val="en-US" w:eastAsia="zh-CN" w:bidi="ar-SA"/>
        </w:rPr>
        <w:t>省级</w:t>
      </w:r>
      <w:r>
        <w:rPr>
          <w:rFonts w:hint="default" w:ascii="仿宋" w:hAnsi="仿宋" w:eastAsia="仿宋" w:cs="仿宋"/>
          <w:b w:val="0"/>
          <w:bCs w:val="0"/>
          <w:color w:val="auto"/>
          <w:kern w:val="2"/>
          <w:sz w:val="32"/>
          <w:szCs w:val="32"/>
          <w:highlight w:val="none"/>
          <w:lang w:eastAsia="zh-CN" w:bidi="ar-SA"/>
        </w:rPr>
        <w:t>学科与科技竞赛</w:t>
      </w:r>
      <w:r>
        <w:rPr>
          <w:rFonts w:hint="default" w:ascii="仿宋" w:hAnsi="仿宋" w:eastAsia="仿宋" w:cs="仿宋"/>
          <w:b w:val="0"/>
          <w:bCs w:val="0"/>
          <w:color w:val="auto"/>
          <w:kern w:val="2"/>
          <w:sz w:val="32"/>
          <w:szCs w:val="32"/>
          <w:highlight w:val="none"/>
          <w:lang w:val="en-US" w:eastAsia="zh-CN" w:bidi="ar-SA"/>
        </w:rPr>
        <w:t>项目</w:t>
      </w:r>
      <w:r>
        <w:rPr>
          <w:rFonts w:hint="default" w:ascii="仿宋" w:hAnsi="仿宋" w:cs="仿宋"/>
          <w:b w:val="0"/>
          <w:bCs w:val="0"/>
          <w:color w:val="auto"/>
          <w:kern w:val="2"/>
          <w:sz w:val="32"/>
          <w:szCs w:val="32"/>
          <w:highlight w:val="none"/>
          <w:lang w:eastAsia="zh-CN" w:bidi="ar-SA"/>
        </w:rPr>
        <w:t>18</w:t>
      </w:r>
      <w:r>
        <w:rPr>
          <w:rFonts w:hint="default" w:ascii="仿宋" w:hAnsi="仿宋" w:eastAsia="仿宋" w:cs="仿宋"/>
          <w:b w:val="0"/>
          <w:bCs w:val="0"/>
          <w:color w:val="auto"/>
          <w:kern w:val="2"/>
          <w:sz w:val="32"/>
          <w:szCs w:val="32"/>
          <w:highlight w:val="none"/>
          <w:lang w:val="en-US" w:eastAsia="zh-CN" w:bidi="ar-SA"/>
        </w:rPr>
        <w:t>项，获得奖项</w:t>
      </w:r>
      <w:r>
        <w:rPr>
          <w:rFonts w:hint="default" w:ascii="仿宋" w:hAnsi="仿宋" w:cs="仿宋"/>
          <w:b w:val="0"/>
          <w:bCs w:val="0"/>
          <w:color w:val="auto"/>
          <w:kern w:val="2"/>
          <w:sz w:val="32"/>
          <w:szCs w:val="32"/>
          <w:highlight w:val="none"/>
          <w:lang w:eastAsia="zh-CN" w:bidi="ar-SA"/>
        </w:rPr>
        <w:t>63</w:t>
      </w:r>
      <w:r>
        <w:rPr>
          <w:rFonts w:hint="default" w:ascii="仿宋" w:hAnsi="仿宋" w:eastAsia="仿宋" w:cs="仿宋"/>
          <w:b w:val="0"/>
          <w:bCs w:val="0"/>
          <w:color w:val="auto"/>
          <w:kern w:val="2"/>
          <w:sz w:val="32"/>
          <w:szCs w:val="32"/>
          <w:highlight w:val="none"/>
          <w:lang w:val="en-US" w:eastAsia="zh-CN" w:bidi="ar-SA"/>
        </w:rPr>
        <w:t>个</w:t>
      </w:r>
      <w:r>
        <w:rPr>
          <w:rFonts w:hint="eastAsia" w:ascii="仿宋" w:hAnsi="仿宋" w:cs="仿宋"/>
          <w:b w:val="0"/>
          <w:bCs w:val="0"/>
          <w:color w:val="auto"/>
          <w:kern w:val="2"/>
          <w:sz w:val="32"/>
          <w:szCs w:val="32"/>
          <w:highlight w:val="none"/>
          <w:lang w:eastAsia="zh-CN" w:bidi="ar-SA"/>
        </w:rPr>
        <w:t>，</w:t>
      </w:r>
      <w:r>
        <w:rPr>
          <w:rFonts w:hint="default" w:ascii="仿宋" w:hAnsi="仿宋" w:cs="仿宋"/>
          <w:b w:val="0"/>
          <w:bCs w:val="0"/>
          <w:color w:val="auto"/>
          <w:kern w:val="2"/>
          <w:sz w:val="32"/>
          <w:szCs w:val="32"/>
          <w:highlight w:val="none"/>
          <w:lang w:eastAsia="zh-CN" w:bidi="ar-SA"/>
        </w:rPr>
        <w:t>336</w:t>
      </w:r>
      <w:r>
        <w:rPr>
          <w:rFonts w:hint="default" w:ascii="仿宋" w:hAnsi="仿宋" w:eastAsia="仿宋" w:cs="仿宋"/>
          <w:b w:val="0"/>
          <w:bCs w:val="0"/>
          <w:color w:val="auto"/>
          <w:kern w:val="2"/>
          <w:sz w:val="32"/>
          <w:szCs w:val="32"/>
          <w:highlight w:val="none"/>
          <w:lang w:val="en-US" w:eastAsia="zh-CN" w:bidi="ar-SA"/>
        </w:rPr>
        <w:t>人次</w:t>
      </w:r>
      <w:r>
        <w:rPr>
          <w:rFonts w:hint="eastAsia" w:ascii="仿宋" w:hAnsi="仿宋" w:cs="仿宋"/>
          <w:b w:val="0"/>
          <w:bCs w:val="0"/>
          <w:color w:val="auto"/>
          <w:kern w:val="2"/>
          <w:sz w:val="32"/>
          <w:szCs w:val="32"/>
          <w:highlight w:val="none"/>
          <w:lang w:val="en-US" w:eastAsia="zh-CN" w:bidi="ar-SA"/>
        </w:rPr>
        <w:t>获奖</w:t>
      </w:r>
      <w:r>
        <w:rPr>
          <w:rFonts w:hint="default" w:ascii="仿宋" w:hAnsi="仿宋" w:eastAsia="仿宋" w:cs="仿宋"/>
          <w:b w:val="0"/>
          <w:bCs w:val="0"/>
          <w:color w:val="auto"/>
          <w:kern w:val="2"/>
          <w:sz w:val="32"/>
          <w:szCs w:val="32"/>
          <w:highlight w:val="none"/>
          <w:lang w:val="en-US" w:eastAsia="zh-CN" w:bidi="ar-SA"/>
        </w:rPr>
        <w:t>，</w:t>
      </w:r>
      <w:r>
        <w:rPr>
          <w:rFonts w:hint="default" w:ascii="仿宋" w:hAnsi="仿宋" w:eastAsia="仿宋" w:cs="仿宋"/>
          <w:b w:val="0"/>
          <w:bCs w:val="0"/>
          <w:color w:val="auto"/>
          <w:kern w:val="2"/>
          <w:sz w:val="32"/>
          <w:szCs w:val="32"/>
          <w:highlight w:val="none"/>
          <w:lang w:eastAsia="zh-CN" w:bidi="ar-SA"/>
        </w:rPr>
        <w:t>实现学科与科技竞赛省级及以上获奖数量翻番，</w:t>
      </w:r>
      <w:r>
        <w:rPr>
          <w:rFonts w:hint="default" w:ascii="仿宋" w:hAnsi="仿宋" w:eastAsia="仿宋" w:cs="仿宋"/>
          <w:b w:val="0"/>
          <w:bCs w:val="0"/>
          <w:color w:val="auto"/>
          <w:kern w:val="2"/>
          <w:sz w:val="32"/>
          <w:szCs w:val="32"/>
          <w:highlight w:val="none"/>
          <w:lang w:val="en-US" w:eastAsia="zh-CN" w:bidi="ar-SA"/>
        </w:rPr>
        <w:t>在第四届华东六省一市高等院校医学检验技术专业技能大赛获得个人金奖及团体三等奖</w:t>
      </w:r>
      <w:r>
        <w:rPr>
          <w:rFonts w:hint="default" w:ascii="仿宋" w:hAnsi="仿宋" w:eastAsia="仿宋" w:cs="仿宋"/>
          <w:b w:val="0"/>
          <w:bCs w:val="0"/>
          <w:color w:val="auto"/>
          <w:kern w:val="2"/>
          <w:sz w:val="32"/>
          <w:szCs w:val="32"/>
          <w:highlight w:val="none"/>
          <w:lang w:eastAsia="zh-CN" w:bidi="ar-SA"/>
        </w:rPr>
        <w:t>，在安徽省</w:t>
      </w:r>
      <w:r>
        <w:rPr>
          <w:rFonts w:hint="eastAsia" w:ascii="仿宋" w:hAnsi="仿宋" w:eastAsia="仿宋" w:cs="仿宋"/>
          <w:b w:val="0"/>
          <w:bCs w:val="0"/>
          <w:color w:val="auto"/>
          <w:kern w:val="2"/>
          <w:sz w:val="32"/>
          <w:szCs w:val="32"/>
          <w:highlight w:val="none"/>
          <w:lang w:val="en-US" w:eastAsia="zh-CN" w:bidi="ar-SA"/>
        </w:rPr>
        <w:t>基础医学实验技能竞赛获本科组第一名</w:t>
      </w:r>
      <w:r>
        <w:rPr>
          <w:rFonts w:hint="eastAsia" w:ascii="仿宋" w:hAnsi="仿宋" w:cs="仿宋"/>
          <w:b w:val="0"/>
          <w:bCs w:val="0"/>
          <w:color w:val="auto"/>
          <w:kern w:val="2"/>
          <w:sz w:val="32"/>
          <w:szCs w:val="32"/>
          <w:highlight w:val="none"/>
          <w:lang w:eastAsia="zh-CN" w:bidi="ar-SA"/>
        </w:rPr>
        <w:t>。</w:t>
      </w:r>
      <w:r>
        <w:rPr>
          <w:rFonts w:hint="eastAsia" w:ascii="仿宋" w:hAnsi="仿宋" w:eastAsia="仿宋" w:cs="仿宋"/>
          <w:color w:val="auto"/>
          <w:sz w:val="32"/>
          <w:szCs w:val="32"/>
          <w:highlight w:val="none"/>
          <w:lang w:val="en-US" w:eastAsia="zh-CN"/>
        </w:rPr>
        <w:t>2023届</w:t>
      </w:r>
      <w:r>
        <w:rPr>
          <w:rFonts w:hint="eastAsia" w:ascii="仿宋" w:hAnsi="仿宋" w:cs="仿宋"/>
          <w:color w:val="auto"/>
          <w:sz w:val="32"/>
          <w:szCs w:val="32"/>
          <w:highlight w:val="none"/>
          <w:lang w:val="en-US" w:eastAsia="zh-CN"/>
        </w:rPr>
        <w:t>毕业生就业率95.52</w:t>
      </w:r>
      <w:r>
        <w:rPr>
          <w:rFonts w:hint="eastAsia" w:ascii="仿宋" w:hAnsi="仿宋" w:eastAsia="仿宋" w:cs="仿宋"/>
          <w:b w:val="0"/>
          <w:bCs w:val="0"/>
          <w:color w:val="auto"/>
          <w:kern w:val="2"/>
          <w:sz w:val="32"/>
          <w:szCs w:val="32"/>
          <w:highlight w:val="none"/>
          <w:lang w:val="en-US" w:eastAsia="zh-CN" w:bidi="zh-CN"/>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留皖率全省第三</w:t>
      </w:r>
      <w:r>
        <w:rPr>
          <w:rFonts w:hint="eastAsia" w:ascii="仿宋" w:hAnsi="仿宋" w:eastAsia="仿宋" w:cs="仿宋"/>
          <w:color w:val="auto"/>
          <w:sz w:val="32"/>
          <w:szCs w:val="32"/>
          <w:highlight w:val="none"/>
          <w:lang w:val="en-US" w:eastAsia="zh-CN"/>
        </w:rPr>
        <w:t>。</w:t>
      </w:r>
    </w:p>
    <w:p w14:paraId="510D1B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（四）管理效能进一步提升</w:t>
      </w:r>
    </w:p>
    <w:p w14:paraId="2C9F2F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zh-CN"/>
        </w:rPr>
        <w:t>全年制修订制度33项。</w:t>
      </w:r>
      <w:r>
        <w:rPr>
          <w:rFonts w:hint="eastAsia" w:ascii="仿宋" w:hAnsi="仿宋" w:eastAsia="仿宋" w:cs="仿宋"/>
          <w:b w:val="0"/>
          <w:bCs w:val="0"/>
          <w:i w:val="0"/>
          <w:strike w:val="0"/>
          <w:color w:val="auto"/>
          <w:sz w:val="32"/>
          <w:szCs w:val="32"/>
          <w:highlight w:val="none"/>
          <w:u w:val="none"/>
          <w:lang w:val="en-US" w:eastAsia="zh-CN"/>
        </w:rPr>
        <w:t>组织周例会、院务会66场次，会议督办527项。落实重点工作复盘机制，召开工作复盘会10余场。</w:t>
      </w:r>
      <w:r>
        <w:rPr>
          <w:rFonts w:hint="eastAsia" w:ascii="仿宋" w:hAnsi="仿宋" w:eastAsia="仿宋" w:cs="仿宋"/>
          <w:color w:val="auto"/>
          <w:sz w:val="32"/>
          <w:szCs w:val="32"/>
          <w:highlight w:val="none"/>
          <w:lang w:val="en-US" w:eastAsia="zh-CN"/>
        </w:rPr>
        <w:t>集团内</w:t>
      </w:r>
      <w:r>
        <w:rPr>
          <w:rFonts w:hint="default" w:ascii="仿宋" w:hAnsi="仿宋" w:eastAsia="仿宋" w:cs="仿宋"/>
          <w:color w:val="auto"/>
          <w:sz w:val="32"/>
          <w:szCs w:val="32"/>
          <w:highlight w:val="none"/>
          <w:lang w:val="en-US" w:eastAsia="zh-CN"/>
        </w:rPr>
        <w:t>调拨办公设备及家具</w:t>
      </w:r>
      <w:r>
        <w:rPr>
          <w:rFonts w:hint="eastAsia" w:ascii="方正仿宋_GBK" w:hAnsi="方正仿宋_GBK" w:eastAsia="方正仿宋_GBK" w:cs="方正仿宋_GBK"/>
          <w:color w:val="auto"/>
          <w:sz w:val="32"/>
          <w:szCs w:val="32"/>
          <w:highlight w:val="none"/>
          <w:lang w:val="en-US" w:eastAsia="zh-CN"/>
        </w:rPr>
        <w:t>196台套，节约采购成本12万元；减少低值易耗资产库存。推进“绿建”落实，加大节能减排。</w:t>
      </w:r>
      <w:r>
        <w:rPr>
          <w:rFonts w:hint="eastAsia" w:ascii="仿宋" w:hAnsi="仿宋" w:eastAsia="仿宋" w:cs="仿宋"/>
          <w:color w:val="auto"/>
          <w:sz w:val="32"/>
          <w:szCs w:val="32"/>
          <w:highlight w:val="none"/>
          <w:lang w:val="en-US" w:eastAsia="zh-CN"/>
        </w:rPr>
        <w:t>启动“校长接待日”，组织4场“院长与我面对面”座谈活动，开通交通循环班线。</w:t>
      </w:r>
      <w:r>
        <w:rPr>
          <w:rFonts w:hint="eastAsia" w:ascii="仿宋" w:hAnsi="仿宋" w:eastAsia="仿宋" w:cs="仿宋"/>
          <w:b w:val="0"/>
          <w:bCs w:val="0"/>
          <w:i w:val="0"/>
          <w:strike w:val="0"/>
          <w:color w:val="auto"/>
          <w:sz w:val="32"/>
          <w:szCs w:val="32"/>
          <w:highlight w:val="none"/>
          <w:u w:val="none"/>
          <w:lang w:val="en-US" w:eastAsia="zh-CN"/>
        </w:rPr>
        <w:t>强化“一线工作法”，编制</w:t>
      </w:r>
      <w:r>
        <w:rPr>
          <w:rFonts w:hint="eastAsia" w:ascii="仿宋" w:hAnsi="仿宋" w:eastAsia="仿宋" w:cs="仿宋"/>
          <w:color w:val="auto"/>
          <w:sz w:val="32"/>
          <w:szCs w:val="32"/>
          <w:highlight w:val="none"/>
          <w:lang w:val="en-US" w:eastAsia="zh-CN"/>
        </w:rPr>
        <w:t>“教学常规工作早知道”和“学生工作月历”等，深入基层检查指导成常态。</w:t>
      </w:r>
      <w:r>
        <w:rPr>
          <w:rFonts w:hint="eastAsia" w:ascii="方正仿宋_GBK" w:hAnsi="方正仿宋_GBK" w:eastAsia="方正仿宋_GBK" w:cs="方正仿宋_GBK"/>
          <w:color w:val="auto"/>
          <w:sz w:val="32"/>
          <w:szCs w:val="32"/>
          <w:highlight w:val="none"/>
          <w:lang w:val="en-US" w:eastAsia="zh-CN"/>
        </w:rPr>
        <w:t>全年，外出考察学习38次，召开学习交流汇报会3次，20项学习</w:t>
      </w:r>
      <w:r>
        <w:rPr>
          <w:rFonts w:hint="eastAsia" w:ascii="仿宋" w:hAnsi="仿宋" w:eastAsia="仿宋" w:cs="仿宋"/>
          <w:color w:val="auto"/>
          <w:sz w:val="32"/>
          <w:szCs w:val="32"/>
          <w:highlight w:val="none"/>
          <w:lang w:val="en-US" w:eastAsia="zh-CN"/>
        </w:rPr>
        <w:t>成果在工作中转化应用；校级层面召开7场师生座谈会，吸纳意见建议49个；有效处理投诉166起。学生对实验教学、实习工作安排、宿舍环境与配套设施、校风学风满意度显著提高。</w:t>
      </w:r>
    </w:p>
    <w:p w14:paraId="28D1B9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二、开展的主要工作</w:t>
      </w:r>
    </w:p>
    <w:p w14:paraId="37FDB8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（一）党建与思政工作</w:t>
      </w:r>
    </w:p>
    <w:p w14:paraId="02A6B9B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1.组织开展学习贯彻习近平新时代中国特色社会主义思想主题教育。</w:t>
      </w:r>
      <w:r>
        <w:rPr>
          <w:rFonts w:hint="eastAsia" w:ascii="仿宋" w:hAnsi="仿宋" w:eastAsia="仿宋" w:cs="仿宋"/>
          <w:color w:val="auto"/>
          <w:sz w:val="32"/>
          <w:szCs w:val="32"/>
          <w:highlight w:val="none"/>
          <w:lang w:eastAsia="zh-CN"/>
        </w:rPr>
        <w:t>按照上级党委统一部署要求，围绕“学思想、强党性、重实践、建新功”总要求，认真开展主题教育。开展理论学习</w:t>
      </w:r>
      <w:r>
        <w:rPr>
          <w:rFonts w:hint="eastAsia" w:ascii="仿宋" w:hAnsi="仿宋" w:eastAsia="仿宋" w:cs="仿宋"/>
          <w:color w:val="auto"/>
          <w:sz w:val="32"/>
          <w:szCs w:val="32"/>
          <w:highlight w:val="none"/>
          <w:lang w:val="en-US" w:eastAsia="zh-CN"/>
        </w:rPr>
        <w:t>11次</w:t>
      </w:r>
      <w:r>
        <w:rPr>
          <w:rFonts w:hint="eastAsia" w:ascii="仿宋" w:hAnsi="仿宋" w:eastAsia="仿宋" w:cs="仿宋"/>
          <w:color w:val="auto"/>
          <w:sz w:val="32"/>
          <w:szCs w:val="32"/>
          <w:highlight w:val="none"/>
          <w:lang w:eastAsia="zh-CN"/>
        </w:rPr>
        <w:t>，围绕转设与发展、思想政治教育、师资队伍建设、实验室建设、学生心理健康教育组织专题调研</w:t>
      </w:r>
      <w:r>
        <w:rPr>
          <w:rFonts w:hint="eastAsia" w:ascii="仿宋" w:hAnsi="仿宋" w:eastAsia="仿宋" w:cs="仿宋"/>
          <w:color w:val="auto"/>
          <w:sz w:val="32"/>
          <w:szCs w:val="32"/>
          <w:highlight w:val="none"/>
          <w:lang w:val="en-US" w:eastAsia="zh-CN"/>
        </w:rPr>
        <w:t>30余次，推动落实26项工作。</w:t>
      </w:r>
    </w:p>
    <w:p w14:paraId="3728B48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2.持续提高基层党建工作水平。</w:t>
      </w:r>
      <w:r>
        <w:rPr>
          <w:rFonts w:hint="eastAsia" w:ascii="仿宋" w:hAnsi="仿宋" w:eastAsia="仿宋" w:cs="仿宋"/>
          <w:color w:val="auto"/>
          <w:sz w:val="32"/>
          <w:szCs w:val="32"/>
          <w:highlight w:val="none"/>
          <w:lang w:eastAsia="zh-CN"/>
        </w:rPr>
        <w:t>贯彻落实《中国共产党普通高等学校基层组织工作条例》，党员院领导全部调整进入学院党委领导班子。增设</w:t>
      </w:r>
      <w:r>
        <w:rPr>
          <w:rFonts w:hint="eastAsia" w:ascii="仿宋" w:hAnsi="仿宋" w:eastAsia="仿宋" w:cs="仿宋"/>
          <w:color w:val="auto"/>
          <w:sz w:val="32"/>
          <w:szCs w:val="32"/>
          <w:highlight w:val="none"/>
          <w:lang w:val="en-US" w:eastAsia="zh-CN"/>
        </w:rPr>
        <w:t>4个党总支，</w:t>
      </w:r>
      <w:r>
        <w:rPr>
          <w:rFonts w:hint="eastAsia" w:ascii="仿宋" w:hAnsi="仿宋" w:eastAsia="仿宋" w:cs="仿宋"/>
          <w:color w:val="auto"/>
          <w:sz w:val="32"/>
          <w:szCs w:val="32"/>
          <w:highlight w:val="none"/>
          <w:lang w:eastAsia="zh-CN"/>
        </w:rPr>
        <w:t>党组织架构进一步完善。贯彻落实“强基础、提质量、创品牌”三年行动计划，</w:t>
      </w:r>
      <w:r>
        <w:rPr>
          <w:rFonts w:hint="eastAsia" w:ascii="仿宋" w:hAnsi="仿宋" w:eastAsia="仿宋" w:cs="仿宋"/>
          <w:color w:val="auto"/>
          <w:sz w:val="32"/>
          <w:szCs w:val="32"/>
          <w:highlight w:val="none"/>
          <w:lang w:val="en-US" w:eastAsia="zh-CN"/>
        </w:rPr>
        <w:t>5个</w:t>
      </w:r>
      <w:r>
        <w:rPr>
          <w:rFonts w:hint="eastAsia" w:ascii="仿宋" w:hAnsi="仿宋" w:eastAsia="仿宋" w:cs="仿宋"/>
          <w:color w:val="auto"/>
          <w:sz w:val="32"/>
          <w:szCs w:val="32"/>
          <w:highlight w:val="none"/>
          <w:lang w:eastAsia="zh-CN"/>
        </w:rPr>
        <w:t>支部完成评星定级。深化基层党组织标准化建设，推进党建示范创建和质量创优，首次获批</w:t>
      </w:r>
      <w:r>
        <w:rPr>
          <w:rFonts w:hint="eastAsia" w:ascii="仿宋" w:hAnsi="仿宋" w:eastAsia="仿宋" w:cs="仿宋"/>
          <w:color w:val="auto"/>
          <w:sz w:val="32"/>
          <w:szCs w:val="32"/>
          <w:highlight w:val="none"/>
          <w:lang w:val="en-US" w:eastAsia="zh-CN"/>
        </w:rPr>
        <w:t>1个省级样板党支部。严把党员入口关，全年发展党员91人，落实新发展党员培训全覆盖。选树优秀共产党员、优秀党务工作者22人，强化示范引领。</w:t>
      </w:r>
    </w:p>
    <w:p w14:paraId="0812240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i w:val="0"/>
          <w:strike w:val="0"/>
          <w:color w:val="auto"/>
          <w:sz w:val="32"/>
          <w:szCs w:val="32"/>
          <w:highlight w:val="none"/>
          <w:u w:val="none"/>
          <w:lang w:val="en-US" w:eastAsia="zh-CN"/>
        </w:rPr>
      </w:pPr>
      <w:r>
        <w:rPr>
          <w:rFonts w:hint="eastAsia" w:ascii="仿宋" w:hAnsi="仿宋" w:eastAsia="仿宋" w:cs="仿宋"/>
          <w:b/>
          <w:bCs/>
          <w:color w:val="auto"/>
          <w:sz w:val="32"/>
          <w:szCs w:val="32"/>
          <w:highlight w:val="none"/>
          <w:lang w:val="en-US" w:eastAsia="zh-CN"/>
        </w:rPr>
        <w:t>3.全面落实宣传思想和意识形态工作。</w:t>
      </w:r>
      <w:r>
        <w:rPr>
          <w:rFonts w:hint="eastAsia" w:ascii="仿宋" w:hAnsi="仿宋" w:eastAsia="仿宋" w:cs="仿宋"/>
          <w:b w:val="0"/>
          <w:bCs w:val="0"/>
          <w:color w:val="auto"/>
          <w:sz w:val="32"/>
          <w:szCs w:val="32"/>
          <w:highlight w:val="none"/>
          <w:lang w:val="en-US" w:eastAsia="zh-CN"/>
        </w:rPr>
        <w:t>压实意识形态工作责任制，抓好网络媒体、课堂、讲座、报告会、社团、教材等各类阵地，</w:t>
      </w:r>
      <w:r>
        <w:rPr>
          <w:rFonts w:hint="eastAsia" w:ascii="仿宋" w:hAnsi="仿宋" w:eastAsia="仿宋" w:cs="仿宋"/>
          <w:color w:val="auto"/>
          <w:sz w:val="32"/>
          <w:szCs w:val="32"/>
          <w:highlight w:val="none"/>
          <w:lang w:val="en-US" w:eastAsia="zh-CN"/>
        </w:rPr>
        <w:t>开展两微一端、微信及QQ群整治。用好网络宣传阵地，创新开设“五微”课堂。</w:t>
      </w:r>
      <w:r>
        <w:rPr>
          <w:rFonts w:hint="eastAsia" w:ascii="仿宋" w:hAnsi="仿宋" w:eastAsia="仿宋" w:cs="仿宋"/>
          <w:b w:val="0"/>
          <w:bCs w:val="0"/>
          <w:i w:val="0"/>
          <w:strike w:val="0"/>
          <w:color w:val="auto"/>
          <w:sz w:val="32"/>
          <w:szCs w:val="32"/>
          <w:highlight w:val="none"/>
          <w:u w:val="none"/>
          <w:lang w:val="en-US" w:eastAsia="zh-CN"/>
        </w:rPr>
        <w:t>首次开通官方视频号和抖音号，制作并发布短视频45个，浏览总量超251万次。办学成果被中国教育在线、安徽教育网、学习强国等国家级、省级媒体报道20次。</w:t>
      </w:r>
    </w:p>
    <w:p w14:paraId="40CBA7C8">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auto"/>
        <w:rPr>
          <w:rFonts w:hint="eastAsia" w:ascii="仿宋" w:hAnsi="仿宋" w:eastAsia="仿宋" w:cs="仿宋"/>
          <w:b w:val="0"/>
          <w:bCs w:val="0"/>
          <w:i w:val="0"/>
          <w:strike w:val="0"/>
          <w:color w:val="auto"/>
          <w:sz w:val="32"/>
          <w:szCs w:val="32"/>
          <w:highlight w:val="none"/>
          <w:u w:val="none"/>
          <w:lang w:val="en-US" w:eastAsia="zh-CN"/>
        </w:rPr>
      </w:pPr>
      <w:r>
        <w:rPr>
          <w:rFonts w:hint="eastAsia" w:ascii="仿宋" w:hAnsi="仿宋" w:eastAsia="仿宋" w:cs="仿宋"/>
          <w:b/>
          <w:bCs/>
          <w:i w:val="0"/>
          <w:strike w:val="0"/>
          <w:color w:val="auto"/>
          <w:sz w:val="32"/>
          <w:szCs w:val="32"/>
          <w:highlight w:val="none"/>
          <w:u w:val="none"/>
          <w:lang w:val="en-US" w:eastAsia="zh-CN"/>
        </w:rPr>
        <w:t>4.</w:t>
      </w:r>
      <w:r>
        <w:rPr>
          <w:rFonts w:hint="eastAsia" w:ascii="仿宋" w:hAnsi="仿宋" w:cs="仿宋"/>
          <w:b/>
          <w:bCs/>
          <w:i w:val="0"/>
          <w:strike w:val="0"/>
          <w:color w:val="auto"/>
          <w:sz w:val="32"/>
          <w:szCs w:val="32"/>
          <w:highlight w:val="none"/>
          <w:u w:val="none"/>
          <w:lang w:val="en-US" w:eastAsia="zh-CN"/>
        </w:rPr>
        <w:t>不断强化师德师风建设</w:t>
      </w:r>
      <w:r>
        <w:rPr>
          <w:rFonts w:hint="eastAsia" w:ascii="仿宋" w:hAnsi="仿宋" w:eastAsia="仿宋" w:cs="仿宋"/>
          <w:b/>
          <w:bCs/>
          <w:i w:val="0"/>
          <w:strike w:val="0"/>
          <w:color w:val="auto"/>
          <w:sz w:val="32"/>
          <w:szCs w:val="32"/>
          <w:highlight w:val="none"/>
          <w:u w:val="none"/>
          <w:lang w:val="en-US" w:eastAsia="zh-CN"/>
        </w:rPr>
        <w:t>。</w:t>
      </w:r>
      <w:r>
        <w:rPr>
          <w:rFonts w:hint="eastAsia" w:ascii="仿宋" w:hAnsi="仿宋" w:eastAsia="仿宋" w:cs="仿宋"/>
          <w:b w:val="0"/>
          <w:bCs w:val="0"/>
          <w:i w:val="0"/>
          <w:strike w:val="0"/>
          <w:color w:val="auto"/>
          <w:sz w:val="32"/>
          <w:szCs w:val="32"/>
          <w:highlight w:val="none"/>
          <w:u w:val="none"/>
          <w:lang w:val="en-US" w:eastAsia="zh-CN"/>
        </w:rPr>
        <w:t>全面落实师德师风第一标准，编发《安徽医科大学临床医学院师德学习手册》，在校本培训中开设师德师风教育专项课程，寒暑假组织教职工参加师德集中学习，实现师德学习全覆盖。举办教师节表彰大会，学院党委书记开展教师节师德主题报告会，开展优秀教育工作者、最受欢迎教师、最美辅导员等评选表彰宣传活动，组织教职工师德主题演讲、读书沙龙等师德师风建设“五个一”活动，进一步提升教职工师德素养。</w:t>
      </w:r>
    </w:p>
    <w:p w14:paraId="5BA58CA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5.重点提高思政课教学水平。</w:t>
      </w:r>
      <w:r>
        <w:rPr>
          <w:rFonts w:hint="eastAsia" w:ascii="仿宋" w:hAnsi="仿宋" w:eastAsia="仿宋" w:cs="仿宋"/>
          <w:color w:val="auto"/>
          <w:sz w:val="32"/>
          <w:szCs w:val="32"/>
          <w:highlight w:val="none"/>
          <w:lang w:val="en-US" w:eastAsia="zh-CN"/>
        </w:rPr>
        <w:t>按要求配齐思政课教师；组织集体备课、实践研学14次，共建实践教学基地3个；开展五四经典诵读、大学生讲思政课、“行走的思政课”等实践教育活动，覆盖学生7000余人次。</w:t>
      </w:r>
    </w:p>
    <w:p w14:paraId="748D24E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（二）转设工作</w:t>
      </w:r>
    </w:p>
    <w:p w14:paraId="35F4ACD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坚持以转促建，工作调度与指标梳理常态化。组织召开转设与高质量发展战略研讨会，调整安医大、集团、学院三方参与的转设工作组，明确转设任务清单，建立长效机制，学院各部门对口医大业务交流10余次。</w:t>
      </w:r>
    </w:p>
    <w:p w14:paraId="218C609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（三）教学科研工作</w:t>
      </w:r>
    </w:p>
    <w:p w14:paraId="20C97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1.夯实教学管理基础。</w:t>
      </w:r>
      <w:r>
        <w:rPr>
          <w:rFonts w:hint="eastAsia" w:ascii="仿宋" w:hAnsi="仿宋" w:eastAsia="仿宋" w:cs="仿宋"/>
          <w:sz w:val="32"/>
          <w:szCs w:val="32"/>
          <w:lang w:val="en-US" w:eastAsia="zh-CN"/>
        </w:rPr>
        <w:t>成立并规范建设教研室、课程组31个。成立学术委员会，组建教学督导组，调整教学工作委员会和学位委员会。系统梳理教学管理工作流程40项。</w:t>
      </w:r>
    </w:p>
    <w:p w14:paraId="0D44FE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2.推动专业与课程建设。</w:t>
      </w:r>
      <w:r>
        <w:rPr>
          <w:rFonts w:hint="eastAsia" w:ascii="仿宋" w:hAnsi="仿宋" w:eastAsia="仿宋" w:cs="仿宋"/>
          <w:sz w:val="32"/>
          <w:szCs w:val="32"/>
          <w:lang w:val="en-US" w:eastAsia="zh-CN"/>
        </w:rPr>
        <w:t>新增生物制药专业。完成康复治疗学、医学影像技术2个专业学士学位授予权评审。进一步明确药学、生物医学工程等专业培养定位，落实专升本专业就业导向的培养模式。完成2022版人才培养方案配套课程教学大纲的制修订工作。</w:t>
      </w:r>
    </w:p>
    <w:p w14:paraId="641A3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3.加强实践教学管理。</w:t>
      </w:r>
      <w:r>
        <w:rPr>
          <w:rFonts w:hint="eastAsia" w:ascii="仿宋" w:hAnsi="仿宋" w:eastAsia="仿宋" w:cs="仿宋"/>
          <w:sz w:val="32"/>
          <w:szCs w:val="32"/>
          <w:lang w:val="en-US" w:eastAsia="zh-CN"/>
        </w:rPr>
        <w:t>落实实验室管理制度规范化、环境与卫生标准化、仪器设备与耗材管理标准化、安全管理标准化、档案管理标准化建设。新增实践教学基地27家。首次开展优秀临床实习基地与优秀实习带教老师评选。实地走访调研省内外实习基地25家、附属医院5家，规范实习工作，加强附属医院管理。与合肥普瑞眼科医院合作获批省级实践教育基地。</w:t>
      </w:r>
    </w:p>
    <w:p w14:paraId="7C02B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4.持续推进教学改革。</w:t>
      </w:r>
      <w:r>
        <w:rPr>
          <w:rFonts w:hint="eastAsia" w:ascii="仿宋" w:hAnsi="仿宋" w:eastAsia="仿宋" w:cs="仿宋"/>
          <w:sz w:val="32"/>
          <w:szCs w:val="32"/>
          <w:lang w:val="en-US" w:eastAsia="zh-CN"/>
        </w:rPr>
        <w:t>试点实施本科生导师制。与中科大先进技术研究院共建省级基因工程药物现代产业学院、与合肥金域检验医学检验产业学院。与合肥市一院共建的省级老年护理产业学院取得阶段性成果。立项10门校级教改课程，启动医学课程PBL教学改革，积极推进考研与执医大纲进课堂、医学前沿进课堂、最新临床规范和指南进课堂，推进《计算机基础与应用》《形势与政策》等公共课程改革。全年获批省级质量工程项目36项，同比增长20%。</w:t>
      </w:r>
    </w:p>
    <w:p w14:paraId="2786B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5.有序推进科研工作。</w:t>
      </w:r>
      <w:r>
        <w:rPr>
          <w:rFonts w:hint="eastAsia" w:ascii="仿宋" w:hAnsi="仿宋" w:eastAsia="仿宋" w:cs="仿宋"/>
          <w:sz w:val="32"/>
          <w:szCs w:val="32"/>
          <w:lang w:val="en-US" w:eastAsia="zh-CN"/>
        </w:rPr>
        <w:t>获批安徽省高校科研项目22项，同比增长69%。获批国家级、省级大学生创新创业项目24项。全年教师发表论文25篇，获国家专利5项，主参编专著与教材12部。</w:t>
      </w:r>
    </w:p>
    <w:p w14:paraId="7D85E9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（三）学生工作</w:t>
      </w:r>
    </w:p>
    <w:p w14:paraId="7C4AD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1.校园文化活动不断丰富。</w:t>
      </w:r>
      <w:r>
        <w:rPr>
          <w:rFonts w:hint="eastAsia" w:ascii="仿宋" w:hAnsi="仿宋" w:eastAsia="仿宋" w:cs="仿宋"/>
          <w:sz w:val="32"/>
          <w:szCs w:val="32"/>
          <w:lang w:val="en-US" w:eastAsia="zh-CN"/>
        </w:rPr>
        <w:t>健全“校-系-班”三级团学组织，遴选培训优秀团学骨干。举办社团文化节、五四表彰大会、5·12护士节、十佳歌手大赛、迎新晚会、田径运动会、主题话剧、元旦晚会、体育联赛等文体活动，打造“医动青春”校园文化活动品牌，取得良好效果。先后在安徽省第七届大学生艺术展演活动中获二等奖2项、三等奖10项，在中国长三角啦啦操挑战赛中获团体一等奖4项、二等奖1项，在“中国联通”安徽省大学生校园十大歌手大赛中1人进前40强、1人进前80强。</w:t>
      </w:r>
    </w:p>
    <w:p w14:paraId="429B1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2.社会实践与志愿服务特色</w:t>
      </w:r>
      <w:r>
        <w:rPr>
          <w:rFonts w:hint="default" w:ascii="仿宋" w:hAnsi="仿宋" w:eastAsia="仿宋" w:cs="仿宋"/>
          <w:b/>
          <w:bCs/>
          <w:sz w:val="32"/>
          <w:szCs w:val="32"/>
          <w:lang w:eastAsia="zh-CN"/>
        </w:rPr>
        <w:t>明显</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与高新区城西桥社区、合蜀山区南岗镇卫生院</w:t>
      </w:r>
      <w:r>
        <w:rPr>
          <w:rFonts w:hint="default" w:ascii="仿宋" w:hAnsi="仿宋" w:eastAsia="仿宋" w:cs="仿宋"/>
          <w:sz w:val="32"/>
          <w:szCs w:val="32"/>
          <w:lang w:eastAsia="zh-CN"/>
        </w:rPr>
        <w:t>等机构</w:t>
      </w:r>
      <w:r>
        <w:rPr>
          <w:rFonts w:hint="eastAsia" w:ascii="仿宋" w:hAnsi="仿宋" w:eastAsia="仿宋" w:cs="仿宋"/>
          <w:sz w:val="32"/>
          <w:szCs w:val="32"/>
          <w:lang w:val="en-US" w:eastAsia="zh-CN"/>
        </w:rPr>
        <w:t>共建社会实践基地和志愿服务对接点，围绕基层调研和健康普及，积极开展社区义诊、关爱听障儿童、</w:t>
      </w:r>
      <w:r>
        <w:rPr>
          <w:rFonts w:hint="default" w:ascii="仿宋" w:hAnsi="仿宋" w:eastAsia="仿宋" w:cs="仿宋"/>
          <w:sz w:val="32"/>
          <w:szCs w:val="32"/>
          <w:lang w:eastAsia="zh-CN"/>
        </w:rPr>
        <w:t>健康</w:t>
      </w:r>
      <w:r>
        <w:rPr>
          <w:rFonts w:hint="eastAsia" w:ascii="仿宋" w:hAnsi="仿宋" w:eastAsia="仿宋" w:cs="仿宋"/>
          <w:sz w:val="32"/>
          <w:szCs w:val="32"/>
          <w:lang w:val="en-US" w:eastAsia="zh-CN"/>
        </w:rPr>
        <w:t>知识普及</w:t>
      </w:r>
      <w:r>
        <w:rPr>
          <w:rFonts w:hint="default" w:ascii="仿宋" w:hAnsi="仿宋" w:eastAsia="仿宋" w:cs="仿宋"/>
          <w:sz w:val="32"/>
          <w:szCs w:val="32"/>
          <w:lang w:eastAsia="zh-CN"/>
        </w:rPr>
        <w:t>、助老扶幼</w:t>
      </w:r>
      <w:r>
        <w:rPr>
          <w:rFonts w:hint="eastAsia" w:ascii="仿宋" w:hAnsi="仿宋" w:eastAsia="仿宋" w:cs="仿宋"/>
          <w:sz w:val="32"/>
          <w:szCs w:val="32"/>
          <w:lang w:val="en-US" w:eastAsia="zh-CN"/>
        </w:rPr>
        <w:t>等社会实践和志愿服务活动。全年共开展43场次社会实践活动，志愿服务时长达1.33万小时，获社会广泛关注和高度评价。在省级以上暑假社会实践表彰中荣获7个奖项，临床医学系志愿服务队伍获合肥市表彰；16名学生在大学生“返家乡”社会实践活动中获基层团组织、疫情防控办等部门表彰。</w:t>
      </w:r>
    </w:p>
    <w:p w14:paraId="209B6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3.学生服务成效显著</w:t>
      </w:r>
      <w:r>
        <w:rPr>
          <w:rFonts w:hint="eastAsia" w:ascii="仿宋" w:hAnsi="仿宋" w:eastAsia="仿宋" w:cs="仿宋"/>
          <w:sz w:val="32"/>
          <w:szCs w:val="32"/>
          <w:lang w:val="en-US" w:eastAsia="zh-CN"/>
        </w:rPr>
        <w:t>。积极推进“一站式”学生社区建设，打造心理健康教育</w:t>
      </w:r>
      <w:r>
        <w:rPr>
          <w:rFonts w:hint="default" w:ascii="仿宋" w:hAnsi="仿宋" w:eastAsia="仿宋" w:cs="仿宋"/>
          <w:sz w:val="32"/>
          <w:szCs w:val="32"/>
          <w:lang w:eastAsia="zh-CN"/>
        </w:rPr>
        <w:t>与</w:t>
      </w:r>
      <w:r>
        <w:rPr>
          <w:rFonts w:hint="eastAsia" w:ascii="仿宋" w:hAnsi="仿宋" w:eastAsia="仿宋" w:cs="仿宋"/>
          <w:sz w:val="32"/>
          <w:szCs w:val="32"/>
          <w:lang w:val="en-US" w:eastAsia="zh-CN"/>
        </w:rPr>
        <w:t>服务、就业指导与服务、公寓管理与服务、大学生事务服务、征兵与兵役服务</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五个中心</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试点推进“良医书院”建设。依托平安公寓、文明示范宿舍创建、“百佳宿舍”评选等活动，加密校园平安网，公寓管理全年零事故。克服医学生慢就业、缓就业困难，落实“一把手”工程，深化就业包保责任制，加强特色化就业指导与服务，举办高质量双选会，组织访企拓岗专项行动，最终2023届毕业生初次去向落实率超全省平均水平，就业工作零投诉，得到省就业指导中心一致认可。</w:t>
      </w:r>
    </w:p>
    <w:p w14:paraId="570408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（四）队伍建设</w:t>
      </w:r>
    </w:p>
    <w:p w14:paraId="723EAD8B">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auto"/>
        <w:rPr>
          <w:rFonts w:hint="eastAsia" w:ascii="仿宋" w:hAnsi="仿宋" w:cs="仿宋"/>
          <w:color w:val="auto"/>
          <w:kern w:val="2"/>
          <w:sz w:val="32"/>
          <w:szCs w:val="32"/>
          <w:highlight w:val="none"/>
          <w:lang w:val="en-US" w:eastAsia="zh-CN" w:bidi="ar-SA"/>
        </w:rPr>
      </w:pPr>
      <w:r>
        <w:rPr>
          <w:rFonts w:hint="eastAsia" w:ascii="仿宋" w:hAnsi="仿宋" w:cs="仿宋"/>
          <w:b/>
          <w:bCs/>
          <w:color w:val="auto"/>
          <w:kern w:val="2"/>
          <w:sz w:val="32"/>
          <w:szCs w:val="32"/>
          <w:highlight w:val="none"/>
          <w:lang w:val="en-US" w:eastAsia="zh-CN" w:bidi="ar-SA"/>
        </w:rPr>
        <w:t>1.人才引进持续加强。</w:t>
      </w:r>
      <w:r>
        <w:rPr>
          <w:rFonts w:hint="eastAsia" w:ascii="仿宋" w:hAnsi="仿宋" w:cs="仿宋"/>
          <w:color w:val="auto"/>
          <w:kern w:val="2"/>
          <w:sz w:val="32"/>
          <w:szCs w:val="32"/>
          <w:highlight w:val="none"/>
          <w:lang w:val="en-US" w:eastAsia="zh-CN" w:bidi="ar-SA"/>
        </w:rPr>
        <w:t>首次开展目标高校招聘宣讲会，通过网站宣传、政府组团、院校对接等多种形式，从中国医科大学、山东大学等高校引进各级各类人才140人，同比增长49%。</w:t>
      </w:r>
    </w:p>
    <w:p w14:paraId="3C19887A">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auto"/>
        <w:rPr>
          <w:rFonts w:hint="eastAsia" w:ascii="仿宋" w:hAnsi="仿宋" w:cs="仿宋"/>
          <w:b w:val="0"/>
          <w:bCs w:val="0"/>
          <w:color w:val="auto"/>
          <w:kern w:val="2"/>
          <w:sz w:val="32"/>
          <w:szCs w:val="32"/>
          <w:highlight w:val="none"/>
          <w:lang w:val="en-US" w:eastAsia="zh-CN" w:bidi="ar-SA"/>
        </w:rPr>
      </w:pPr>
      <w:r>
        <w:rPr>
          <w:rFonts w:hint="eastAsia" w:ascii="仿宋" w:hAnsi="仿宋" w:cs="仿宋"/>
          <w:b/>
          <w:bCs/>
          <w:color w:val="auto"/>
          <w:sz w:val="32"/>
          <w:szCs w:val="32"/>
          <w:highlight w:val="none"/>
          <w:lang w:val="en-US" w:eastAsia="zh-CN"/>
        </w:rPr>
        <w:t>2.培养培训</w:t>
      </w:r>
      <w:r>
        <w:rPr>
          <w:rFonts w:hint="eastAsia" w:ascii="仿宋" w:hAnsi="仿宋" w:cs="仿宋"/>
          <w:b/>
          <w:bCs/>
          <w:color w:val="auto"/>
          <w:kern w:val="2"/>
          <w:sz w:val="32"/>
          <w:szCs w:val="32"/>
          <w:highlight w:val="none"/>
          <w:lang w:val="en-US" w:eastAsia="zh-CN" w:bidi="ar-SA"/>
        </w:rPr>
        <w:t>梯次推进。</w:t>
      </w:r>
      <w:r>
        <w:rPr>
          <w:rFonts w:hint="eastAsia" w:ascii="仿宋" w:hAnsi="仿宋" w:cs="仿宋"/>
          <w:b w:val="0"/>
          <w:bCs w:val="0"/>
          <w:color w:val="auto"/>
          <w:kern w:val="2"/>
          <w:sz w:val="32"/>
          <w:szCs w:val="32"/>
          <w:highlight w:val="none"/>
          <w:lang w:val="en-US" w:eastAsia="zh-CN" w:bidi="ar-SA"/>
        </w:rPr>
        <w:t>实施管理人员成长助力计划，开展管理人员专题培训3场、团队拓展2次。实施教学能力提升计划，优化并落实青年教师导师制，首次开展PBL教学方法培训、举办临床师资培训班。实施“最美引路人”专项培训计划，组织辅导员技能大赛和4场辅导员专项培训，首次开展辅导员职级申报与学工项目评审工作。开展新教职工岗前集中培训，遴选优质课程及讲师，帮助新教职工快速实现角色转变，更好融入组织。初步搭建涵盖思想政治素养提升、师德养成、文化认同、业务提升、心理健康、团队协作等方面的校本培训体系，发掘内外部讲师资源，采用动静结合的培训形式，进一步提升了培养培训效果。全年累计内外部培训共120场，4565人次参训。</w:t>
      </w:r>
    </w:p>
    <w:p w14:paraId="08A6744E">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auto"/>
        <w:rPr>
          <w:rFonts w:hint="default" w:ascii="仿宋" w:hAnsi="仿宋" w:cs="仿宋"/>
          <w:b w:val="0"/>
          <w:bCs w:val="0"/>
          <w:color w:val="auto"/>
          <w:kern w:val="2"/>
          <w:sz w:val="32"/>
          <w:szCs w:val="32"/>
          <w:highlight w:val="none"/>
          <w:lang w:val="en-US" w:eastAsia="zh-CN" w:bidi="ar-SA"/>
        </w:rPr>
      </w:pPr>
      <w:r>
        <w:rPr>
          <w:rFonts w:hint="eastAsia" w:ascii="仿宋" w:hAnsi="仿宋" w:cs="仿宋"/>
          <w:b/>
          <w:bCs/>
          <w:color w:val="auto"/>
          <w:kern w:val="2"/>
          <w:sz w:val="32"/>
          <w:szCs w:val="32"/>
          <w:highlight w:val="none"/>
          <w:lang w:val="en-US" w:eastAsia="zh-CN" w:bidi="ar-SA"/>
        </w:rPr>
        <w:t>3.员工关怀形式多样。</w:t>
      </w:r>
      <w:r>
        <w:rPr>
          <w:rFonts w:hint="eastAsia" w:ascii="仿宋" w:hAnsi="仿宋" w:cs="仿宋"/>
          <w:b w:val="0"/>
          <w:bCs w:val="0"/>
          <w:color w:val="auto"/>
          <w:kern w:val="2"/>
          <w:sz w:val="32"/>
          <w:szCs w:val="32"/>
          <w:highlight w:val="none"/>
          <w:lang w:val="en-US" w:eastAsia="zh-CN" w:bidi="ar-SA"/>
        </w:rPr>
        <w:t>积极对接附属医院，解决教师执医证等注册和医药类职业资格考试报名问题。开展教职工健康体检和心理健康专题讲座，关心关注教职工身心健康。</w:t>
      </w:r>
      <w:r>
        <w:rPr>
          <w:rFonts w:hint="eastAsia" w:ascii="仿宋" w:hAnsi="仿宋" w:cs="仿宋"/>
          <w:b w:val="0"/>
          <w:bCs w:val="0"/>
          <w:color w:val="auto"/>
          <w:sz w:val="32"/>
          <w:szCs w:val="32"/>
          <w:highlight w:val="none"/>
          <w:lang w:val="en-US" w:eastAsia="zh-CN"/>
        </w:rPr>
        <w:t>优化薪酬体系，调整专职教师、辅导员薪酬结构，进一步提升一线教职工待遇水平。</w:t>
      </w:r>
      <w:r>
        <w:rPr>
          <w:rFonts w:hint="eastAsia" w:ascii="仿宋" w:hAnsi="仿宋" w:cs="仿宋"/>
          <w:b w:val="0"/>
          <w:bCs w:val="0"/>
          <w:color w:val="auto"/>
          <w:kern w:val="2"/>
          <w:sz w:val="32"/>
          <w:szCs w:val="32"/>
          <w:highlight w:val="none"/>
          <w:lang w:val="en-US" w:eastAsia="zh-CN" w:bidi="ar-SA"/>
        </w:rPr>
        <w:t>通过不同形式的员工关怀，提升归属感和满意度，队伍稳定性整体增强。</w:t>
      </w:r>
    </w:p>
    <w:p w14:paraId="676F02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（五）综合保障</w:t>
      </w:r>
    </w:p>
    <w:p w14:paraId="0575419C">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auto"/>
        <w:rPr>
          <w:rFonts w:hint="eastAsia" w:ascii="仿宋" w:hAnsi="仿宋" w:cs="仿宋"/>
          <w:b w:val="0"/>
          <w:bCs w:val="0"/>
          <w:color w:val="auto"/>
          <w:sz w:val="32"/>
          <w:szCs w:val="32"/>
          <w:highlight w:val="none"/>
          <w:lang w:val="en-US" w:eastAsia="zh-CN"/>
        </w:rPr>
      </w:pPr>
      <w:r>
        <w:rPr>
          <w:rFonts w:hint="eastAsia" w:ascii="仿宋" w:hAnsi="仿宋" w:cs="仿宋"/>
          <w:b/>
          <w:bCs/>
          <w:color w:val="auto"/>
          <w:sz w:val="32"/>
          <w:szCs w:val="32"/>
          <w:highlight w:val="none"/>
          <w:lang w:val="en-US" w:eastAsia="zh-CN"/>
        </w:rPr>
        <w:t>1.管理机制更加优化。</w:t>
      </w:r>
      <w:r>
        <w:rPr>
          <w:rFonts w:hint="eastAsia" w:ascii="仿宋" w:hAnsi="仿宋" w:cs="仿宋"/>
          <w:b w:val="0"/>
          <w:bCs w:val="0"/>
          <w:color w:val="auto"/>
          <w:sz w:val="32"/>
          <w:szCs w:val="32"/>
          <w:highlight w:val="none"/>
          <w:lang w:val="en-US" w:eastAsia="zh-CN"/>
        </w:rPr>
        <w:t>优化组织架构，增设资产管理处与保卫处，进一步调整职责分工，提高组织运行效率。优化管理人员配置，首次在临床医学系、医学技术系设置系部执行主任岗位，选优配齐二级系部管理力量，深化二级管理体制改革。</w:t>
      </w:r>
    </w:p>
    <w:p w14:paraId="0240E2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i w:val="0"/>
          <w:strike w:val="0"/>
          <w:color w:val="auto"/>
          <w:sz w:val="32"/>
          <w:szCs w:val="32"/>
          <w:highlight w:val="none"/>
          <w:u w:val="none"/>
          <w:lang w:val="en-US" w:eastAsia="zh-CN"/>
        </w:rPr>
      </w:pPr>
      <w:r>
        <w:rPr>
          <w:rFonts w:hint="eastAsia" w:ascii="仿宋" w:hAnsi="仿宋" w:eastAsia="仿宋" w:cs="仿宋"/>
          <w:b/>
          <w:bCs/>
          <w:i w:val="0"/>
          <w:strike w:val="0"/>
          <w:color w:val="auto"/>
          <w:sz w:val="32"/>
          <w:szCs w:val="32"/>
          <w:highlight w:val="none"/>
          <w:u w:val="none"/>
          <w:lang w:val="en-US" w:eastAsia="zh-CN"/>
        </w:rPr>
        <w:t>2.办学条件持续提升。</w:t>
      </w:r>
      <w:r>
        <w:rPr>
          <w:rFonts w:hint="eastAsia" w:ascii="仿宋" w:hAnsi="仿宋" w:eastAsia="仿宋" w:cs="仿宋"/>
          <w:b w:val="0"/>
          <w:bCs w:val="0"/>
          <w:color w:val="auto"/>
          <w:sz w:val="32"/>
          <w:szCs w:val="32"/>
          <w:highlight w:val="none"/>
          <w:lang w:val="en-US" w:eastAsia="zh-CN"/>
        </w:rPr>
        <w:t>标志性图书馆建成使用；</w:t>
      </w:r>
      <w:r>
        <w:rPr>
          <w:rFonts w:hint="default" w:ascii="仿宋" w:hAnsi="仿宋" w:eastAsia="仿宋" w:cs="仿宋"/>
          <w:b w:val="0"/>
          <w:bCs w:val="0"/>
          <w:color w:val="auto"/>
          <w:sz w:val="32"/>
          <w:szCs w:val="32"/>
          <w:highlight w:val="none"/>
          <w:lang w:eastAsia="zh-CN"/>
        </w:rPr>
        <w:t>按照执业医师资格考试标准建设</w:t>
      </w:r>
      <w:r>
        <w:rPr>
          <w:rFonts w:hint="eastAsia" w:ascii="仿宋" w:hAnsi="仿宋" w:eastAsia="仿宋" w:cs="仿宋"/>
          <w:b w:val="0"/>
          <w:bCs w:val="0"/>
          <w:color w:val="auto"/>
          <w:sz w:val="32"/>
          <w:szCs w:val="32"/>
          <w:highlight w:val="none"/>
          <w:lang w:val="en-US" w:eastAsia="zh-CN"/>
        </w:rPr>
        <w:t>拥有</w:t>
      </w:r>
      <w:r>
        <w:rPr>
          <w:rFonts w:hint="default" w:ascii="仿宋" w:hAnsi="仿宋" w:eastAsia="仿宋" w:cs="仿宋"/>
          <w:b w:val="0"/>
          <w:bCs w:val="0"/>
          <w:color w:val="auto"/>
          <w:sz w:val="32"/>
          <w:szCs w:val="32"/>
          <w:highlight w:val="none"/>
          <w:lang w:eastAsia="zh-CN"/>
        </w:rPr>
        <w:t>24</w:t>
      </w:r>
      <w:r>
        <w:rPr>
          <w:rFonts w:hint="eastAsia" w:ascii="仿宋" w:hAnsi="仿宋" w:eastAsia="仿宋" w:cs="仿宋"/>
          <w:b w:val="0"/>
          <w:bCs w:val="0"/>
          <w:color w:val="auto"/>
          <w:sz w:val="32"/>
          <w:szCs w:val="32"/>
          <w:highlight w:val="none"/>
          <w:lang w:val="en-US" w:eastAsia="zh-CN"/>
        </w:rPr>
        <w:t>站的临床和OSCE技能实训中心验收交付。</w:t>
      </w:r>
      <w:r>
        <w:rPr>
          <w:rFonts w:hint="default" w:ascii="仿宋" w:hAnsi="仿宋" w:eastAsia="仿宋" w:cs="仿宋"/>
          <w:b w:val="0"/>
          <w:bCs w:val="0"/>
          <w:color w:val="auto"/>
          <w:sz w:val="32"/>
          <w:szCs w:val="32"/>
          <w:highlight w:val="none"/>
          <w:lang w:eastAsia="zh-CN"/>
        </w:rPr>
        <w:t>新增虚拟仿真、心肺听诊等专业</w:t>
      </w:r>
      <w:r>
        <w:rPr>
          <w:rFonts w:hint="eastAsia" w:ascii="仿宋" w:hAnsi="仿宋" w:eastAsia="仿宋" w:cs="仿宋"/>
          <w:b w:val="0"/>
          <w:bCs w:val="0"/>
          <w:color w:val="auto"/>
          <w:sz w:val="32"/>
          <w:szCs w:val="32"/>
          <w:highlight w:val="none"/>
          <w:lang w:val="en-US" w:eastAsia="zh-CN"/>
        </w:rPr>
        <w:t>实验室8个。以信息化赋能管理提升，上线维修系统、人脸识别系统与访客系统，</w:t>
      </w:r>
      <w:r>
        <w:rPr>
          <w:rFonts w:hint="default" w:ascii="仿宋" w:hAnsi="仿宋" w:eastAsia="仿宋" w:cs="仿宋"/>
          <w:b w:val="0"/>
          <w:bCs w:val="0"/>
          <w:color w:val="auto"/>
          <w:sz w:val="32"/>
          <w:szCs w:val="32"/>
          <w:highlight w:val="none"/>
          <w:lang w:eastAsia="zh-CN"/>
        </w:rPr>
        <w:t>推进</w:t>
      </w:r>
      <w:r>
        <w:rPr>
          <w:rFonts w:hint="eastAsia" w:ascii="仿宋" w:hAnsi="仿宋" w:eastAsia="仿宋" w:cs="仿宋"/>
          <w:b w:val="0"/>
          <w:bCs w:val="0"/>
          <w:color w:val="auto"/>
          <w:sz w:val="32"/>
          <w:szCs w:val="32"/>
          <w:highlight w:val="none"/>
          <w:lang w:val="en-US" w:eastAsia="zh-CN"/>
        </w:rPr>
        <w:t>实验室</w:t>
      </w:r>
      <w:r>
        <w:rPr>
          <w:rFonts w:hint="default" w:ascii="仿宋" w:hAnsi="仿宋" w:eastAsia="仿宋" w:cs="仿宋"/>
          <w:b w:val="0"/>
          <w:bCs w:val="0"/>
          <w:color w:val="auto"/>
          <w:sz w:val="32"/>
          <w:szCs w:val="32"/>
          <w:highlight w:val="none"/>
          <w:lang w:eastAsia="zh-CN"/>
        </w:rPr>
        <w:t>安全管理</w:t>
      </w:r>
      <w:r>
        <w:rPr>
          <w:rFonts w:hint="eastAsia" w:ascii="仿宋" w:hAnsi="仿宋" w:eastAsia="仿宋" w:cs="仿宋"/>
          <w:b w:val="0"/>
          <w:bCs w:val="0"/>
          <w:color w:val="auto"/>
          <w:sz w:val="32"/>
          <w:szCs w:val="32"/>
          <w:highlight w:val="none"/>
          <w:lang w:val="en-US" w:eastAsia="zh-CN"/>
        </w:rPr>
        <w:t>电子门禁，升级教务系统模块</w:t>
      </w:r>
      <w:r>
        <w:rPr>
          <w:rFonts w:hint="default" w:ascii="仿宋" w:hAnsi="仿宋" w:eastAsia="仿宋" w:cs="仿宋"/>
          <w:b w:val="0"/>
          <w:bCs w:val="0"/>
          <w:color w:val="auto"/>
          <w:sz w:val="32"/>
          <w:szCs w:val="32"/>
          <w:highlight w:val="none"/>
          <w:lang w:eastAsia="zh-CN"/>
        </w:rPr>
        <w:t>、创新网络督课在线评价、增设教师能力发展信息化平台，</w:t>
      </w:r>
      <w:r>
        <w:rPr>
          <w:rFonts w:hint="eastAsia" w:ascii="仿宋" w:hAnsi="仿宋" w:eastAsia="仿宋" w:cs="仿宋"/>
          <w:b w:val="0"/>
          <w:bCs w:val="0"/>
          <w:color w:val="auto"/>
          <w:sz w:val="32"/>
          <w:szCs w:val="32"/>
          <w:highlight w:val="none"/>
          <w:lang w:val="en-US" w:eastAsia="zh-CN"/>
        </w:rPr>
        <w:t>拓展网上缴费平台应用范围。</w:t>
      </w:r>
    </w:p>
    <w:p w14:paraId="3CC69B6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i w:val="0"/>
          <w:strike w:val="0"/>
          <w:color w:val="auto"/>
          <w:sz w:val="32"/>
          <w:szCs w:val="32"/>
          <w:highlight w:val="none"/>
          <w:u w:val="none"/>
          <w:lang w:val="en-US" w:eastAsia="zh-CN"/>
        </w:rPr>
        <w:t>3</w:t>
      </w:r>
      <w:r>
        <w:rPr>
          <w:rFonts w:hint="eastAsia" w:ascii="仿宋" w:hAnsi="仿宋" w:eastAsia="仿宋" w:cs="仿宋"/>
          <w:b/>
          <w:bCs/>
          <w:color w:val="auto"/>
          <w:sz w:val="32"/>
          <w:szCs w:val="32"/>
          <w:highlight w:val="none"/>
          <w:lang w:val="en-US" w:eastAsia="zh-CN"/>
        </w:rPr>
        <w:t>.安全保卫更加扎实。</w:t>
      </w:r>
      <w:r>
        <w:rPr>
          <w:rFonts w:hint="eastAsia" w:ascii="仿宋" w:hAnsi="仿宋" w:eastAsia="仿宋" w:cs="仿宋"/>
          <w:color w:val="auto"/>
          <w:sz w:val="32"/>
          <w:szCs w:val="32"/>
          <w:highlight w:val="none"/>
          <w:lang w:val="en-US" w:eastAsia="zh-CN"/>
        </w:rPr>
        <w:t>组织开展校园安全隐患排查整改16次，化解隐患93项。落实值班值守制度，全年处置应急事件51起。组织48000余人次参加交通、防震减灾、防电诈等知识学习及电梯、消防等应急演练。实现新老安保公司平稳交接。完善校园为民警务站建设。</w:t>
      </w:r>
    </w:p>
    <w:p w14:paraId="147221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三、存在的主要问题</w:t>
      </w:r>
    </w:p>
    <w:p w14:paraId="3EB108A8">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1.随着办学规模的不断扩大，对照独立学院转设指标，师资、教学科研仪器设备值等办学条件亟待改善。</w:t>
      </w:r>
    </w:p>
    <w:p w14:paraId="7D13E1EA">
      <w:pPr>
        <w:pStyle w:val="6"/>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2.专业建设基础比较薄弱，基层教学组织设置与建设还不完善，部分专业定位不够明确。</w:t>
      </w:r>
    </w:p>
    <w:p w14:paraId="461D3BCB">
      <w:pPr>
        <w:pStyle w:val="6"/>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3.青年教师培养的政策有待进一步完善，科研意识和科研能力有待加强；青年管理队伍建设有待进一步加强。</w:t>
      </w:r>
    </w:p>
    <w:p w14:paraId="1EF405C2">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color w:val="auto"/>
          <w:highlight w:val="none"/>
          <w:lang w:val="en-US" w:eastAsia="zh-CN"/>
        </w:rPr>
      </w:pPr>
    </w:p>
    <w:p w14:paraId="52DF60B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6"/>
          <w:szCs w:val="44"/>
          <w:highlight w:val="none"/>
          <w:lang w:eastAsia="zh-CN"/>
        </w:rPr>
      </w:pPr>
      <w:r>
        <w:rPr>
          <w:rFonts w:hint="eastAsia" w:ascii="黑体" w:hAnsi="黑体" w:eastAsia="黑体" w:cs="黑体"/>
          <w:color w:val="auto"/>
          <w:sz w:val="36"/>
          <w:szCs w:val="44"/>
          <w:highlight w:val="none"/>
          <w:lang w:eastAsia="zh-CN"/>
        </w:rPr>
        <w:t>第二部分</w:t>
      </w:r>
      <w:r>
        <w:rPr>
          <w:rFonts w:hint="eastAsia" w:ascii="黑体" w:hAnsi="黑体" w:eastAsia="黑体" w:cs="黑体"/>
          <w:color w:val="auto"/>
          <w:sz w:val="36"/>
          <w:szCs w:val="44"/>
          <w:highlight w:val="none"/>
          <w:lang w:val="en-US" w:eastAsia="zh-CN"/>
        </w:rPr>
        <w:t xml:space="preserve">  </w:t>
      </w:r>
      <w:r>
        <w:rPr>
          <w:rFonts w:hint="eastAsia" w:ascii="黑体" w:hAnsi="黑体" w:eastAsia="黑体" w:cs="黑体"/>
          <w:color w:val="auto"/>
          <w:sz w:val="36"/>
          <w:szCs w:val="44"/>
          <w:highlight w:val="none"/>
          <w:lang w:eastAsia="zh-CN"/>
        </w:rPr>
        <w:t>20</w:t>
      </w:r>
      <w:r>
        <w:rPr>
          <w:rFonts w:hint="eastAsia" w:ascii="黑体" w:hAnsi="黑体" w:eastAsia="黑体" w:cs="黑体"/>
          <w:color w:val="auto"/>
          <w:sz w:val="36"/>
          <w:szCs w:val="44"/>
          <w:highlight w:val="none"/>
          <w:lang w:val="en-US" w:eastAsia="zh-CN"/>
        </w:rPr>
        <w:t>24年</w:t>
      </w:r>
      <w:r>
        <w:rPr>
          <w:rFonts w:hint="eastAsia" w:ascii="黑体" w:hAnsi="黑体" w:eastAsia="黑体" w:cs="黑体"/>
          <w:color w:val="auto"/>
          <w:sz w:val="36"/>
          <w:szCs w:val="44"/>
          <w:highlight w:val="none"/>
          <w:lang w:eastAsia="zh-CN"/>
        </w:rPr>
        <w:t>工作思路及要点</w:t>
      </w:r>
    </w:p>
    <w:p w14:paraId="0C22AB1E">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2024年，是“十四五”发展的关键之年，我们要厚筑创新求进的底气，增强克难奋进的定力，在新阶段谋划新发展。</w:t>
      </w:r>
    </w:p>
    <w:p w14:paraId="09FD45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2024年学院工作的总体思路是：</w:t>
      </w:r>
      <w:r>
        <w:rPr>
          <w:rFonts w:hint="eastAsia" w:ascii="仿宋" w:hAnsi="仿宋" w:eastAsia="仿宋" w:cs="仿宋"/>
          <w:color w:val="auto"/>
          <w:kern w:val="2"/>
          <w:sz w:val="32"/>
          <w:szCs w:val="32"/>
          <w:highlight w:val="none"/>
          <w:lang w:val="en-US" w:eastAsia="zh-CN" w:bidi="ar-SA"/>
        </w:rPr>
        <w:t>以习近平新时代中国特色社会主义思想为指导，坚持党对教育事业的全面领导，锚定转设目标，以高质量发展为主线，筑牢安全底线，实施内涵提升、队伍提速、育人提质、管理提效四大计划，不断提升医学人才培养的质量和水平，</w:t>
      </w:r>
      <w:r>
        <w:rPr>
          <w:rFonts w:hint="eastAsia" w:ascii="仿宋" w:hAnsi="仿宋" w:eastAsia="仿宋"/>
          <w:kern w:val="0"/>
          <w:sz w:val="32"/>
          <w:szCs w:val="32"/>
          <w:highlight w:val="none"/>
          <w:lang w:eastAsia="zh-CN"/>
        </w:rPr>
        <w:t>为建设“高起点、高质量、有特色”的地方医学院校奠定基础。</w:t>
      </w:r>
    </w:p>
    <w:p w14:paraId="11B3A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2"/>
          <w:sz w:val="32"/>
          <w:szCs w:val="32"/>
          <w:highlight w:val="none"/>
          <w:lang w:val="en-US" w:eastAsia="zh-CN" w:bidi="ar-SA"/>
        </w:rPr>
      </w:pPr>
      <w:bookmarkStart w:id="0" w:name="_GoBack"/>
      <w:bookmarkEnd w:id="0"/>
      <w:r>
        <w:rPr>
          <w:rFonts w:hint="eastAsia" w:ascii="仿宋" w:hAnsi="仿宋" w:eastAsia="仿宋" w:cs="仿宋"/>
          <w:color w:val="auto"/>
          <w:kern w:val="2"/>
          <w:sz w:val="32"/>
          <w:szCs w:val="32"/>
          <w:highlight w:val="none"/>
          <w:lang w:val="en-US" w:eastAsia="zh-CN" w:bidi="ar-SA"/>
        </w:rPr>
        <w:t>重点做好6个方面工作：</w:t>
      </w:r>
    </w:p>
    <w:p w14:paraId="191BD2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一、持续推进转设工作取得新进展</w:t>
      </w:r>
    </w:p>
    <w:p w14:paraId="4C2857C8">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面梳理办学历史，总结经验成果，凝练精神内核。对照转设指标，重点做好教学行政用房、教学科研仪器设备、图书、师资队伍、附属医院建设工作。积极对外联络，加强学习交流。用好转设与高质量发展战略研讨会成果，紧跟国家政策导向，推动转设工作取得新进展。做好转设后学院组织架构、人员配备等总体谋划。</w:t>
      </w:r>
    </w:p>
    <w:p w14:paraId="492A5E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二、抓好教学关键环节，深入实施内涵提升计划</w:t>
      </w:r>
    </w:p>
    <w:p w14:paraId="6458D5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1.建立健全教学质量监控体系。</w:t>
      </w:r>
      <w:r>
        <w:rPr>
          <w:rFonts w:hint="eastAsia" w:ascii="仿宋" w:hAnsi="仿宋" w:eastAsia="仿宋" w:cs="仿宋"/>
          <w:b w:val="0"/>
          <w:bCs w:val="0"/>
          <w:color w:val="auto"/>
          <w:kern w:val="2"/>
          <w:sz w:val="32"/>
          <w:szCs w:val="32"/>
          <w:highlight w:val="none"/>
          <w:lang w:val="en-US" w:eastAsia="zh-CN" w:bidi="ar-SA"/>
        </w:rPr>
        <w:t>进一步健全教学管理组织体系和人员配备，继续夯实教学管理。系统梳理、完善符合医学教育特点的教学管理制度和主要教学环节质量标准，形成制度汇编。充分发挥教学监督组、学生信息员的作用，强化课堂教学质量监控。在“三期”教学检查的基础上，定期开展试卷、毕业论文、实验教学等专项检查，确保主要教学环节质量。推进专业学士学位授予权评估，启动合格课程认定。充分发挥教学工作委员会作用，规范质量工程项目申报、立项及验收检查。加强临床实习环节检查，开展临床实践教学“5个评价”（医院对学生个体、整体的评价，学生对医院、学校实习组织的评价，系部对医院的评价），促进各实习医院临床实践教学规范化、同质化，将临床实习“黑箱”透明化。</w:t>
      </w:r>
    </w:p>
    <w:p w14:paraId="03C0AE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2.持续推进医学教育教学改革。</w:t>
      </w:r>
      <w:r>
        <w:rPr>
          <w:rFonts w:hint="eastAsia" w:ascii="仿宋" w:hAnsi="仿宋" w:eastAsia="仿宋" w:cs="仿宋"/>
          <w:b w:val="0"/>
          <w:bCs w:val="0"/>
          <w:color w:val="auto"/>
          <w:kern w:val="2"/>
          <w:sz w:val="32"/>
          <w:szCs w:val="32"/>
          <w:highlight w:val="none"/>
          <w:lang w:val="en-US" w:eastAsia="zh-CN" w:bidi="ar-SA"/>
        </w:rPr>
        <w:t>继续申报五年制审批医学专业，停招助产学专业。对标专业认证和工程教育认证要求，推进临床医学、预防医学、护理学、药学和生物医学工程等专业建设与改革。以卓越计划2.0要求，改革人才培养模式，培养卓越医生、卓越护士、卓越公卫人才、卓越医技人才和卓越医工人才。继续开发老年医学、健康大数据、老年护理等2-3个微专业，面向学生选修，培养复合型医学人才。改革实践教学体系，促进医学生早期接触临床。持续推进PBL教学改革，继续实施“面向专业的公共课改革”，引入医学领域新技术新规范，推进实验教学改革。试点推进临床医学专业水平测试。召开执医考试分析研讨会，大力推进执医大纲、真题进课堂，研究切实可行举措，提高执医考试通过率。</w:t>
      </w:r>
    </w:p>
    <w:p w14:paraId="1E3924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3.持续推进医教协同和产教融合。</w:t>
      </w:r>
      <w:r>
        <w:rPr>
          <w:rFonts w:hint="eastAsia" w:ascii="仿宋" w:hAnsi="仿宋" w:eastAsia="仿宋" w:cs="仿宋"/>
          <w:b w:val="0"/>
          <w:bCs w:val="0"/>
          <w:color w:val="auto"/>
          <w:kern w:val="2"/>
          <w:sz w:val="32"/>
          <w:szCs w:val="32"/>
          <w:highlight w:val="none"/>
          <w:lang w:val="en-US" w:eastAsia="zh-CN" w:bidi="ar-SA"/>
        </w:rPr>
        <w:t>完善附属医院管理办法，规范附属医院管理，发挥附属医院医学生培养主阵地的作用。召开临床实践教学工作研讨会，加强与临床教学基地的交流与合作。与医大附院建立良好合作关系，稳定临床教师队伍，落实临床见习安排。推进优质合作伙伴计划，推进专业、育人平台、科研平台共建，共同开发课程、教材、临床案例等教学资源。联同合作单位，做实做深老年护理产业学院、基因药物产业学院、金域检验产业学院、高水平公共卫生学院、健康大数据人才培养基地，以及医工融合未来技术学院建设。</w:t>
      </w:r>
    </w:p>
    <w:p w14:paraId="138EA3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4.大力开展应用型医学研究。</w:t>
      </w:r>
      <w:r>
        <w:rPr>
          <w:rFonts w:hint="eastAsia" w:ascii="仿宋" w:hAnsi="仿宋" w:eastAsia="仿宋" w:cs="仿宋"/>
          <w:b w:val="0"/>
          <w:bCs w:val="0"/>
          <w:color w:val="auto"/>
          <w:kern w:val="2"/>
          <w:sz w:val="32"/>
          <w:szCs w:val="32"/>
          <w:highlight w:val="none"/>
          <w:lang w:val="en-US" w:eastAsia="zh-CN" w:bidi="ar-SA"/>
        </w:rPr>
        <w:t>成立生物医学伦理委员会，健全科研管理机制与制度。完成细胞培养、分子生物学技术和形态学技术等科研实验室建设。探索设立“老年医学研究所”，在老年疾病预防与诊疗、老年康复、老年护理、老年健康管理等领域组建3-5个重点团队，培育重要课题，着力开展应用型研究。积极做好现有科研项目管理和重点项目申报，优化科研激励政策，鼓励教师与附属医院合作开展科学研究，力争在高级别项目立项有所突破，力争科研论文等成果数量翻番。</w:t>
      </w:r>
    </w:p>
    <w:p w14:paraId="260700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三、围绕提能增干，深入实施队伍建设提速计划</w:t>
      </w:r>
    </w:p>
    <w:p w14:paraId="0BEF24D1">
      <w:pPr>
        <w:pStyle w:val="6"/>
        <w:keepNext w:val="0"/>
        <w:keepLines w:val="0"/>
        <w:pageBreakBefore w:val="0"/>
        <w:widowControl w:val="0"/>
        <w:kinsoku/>
        <w:wordWrap/>
        <w:overflowPunct/>
        <w:topLinePunct w:val="0"/>
        <w:autoSpaceDE/>
        <w:autoSpaceDN/>
        <w:bidi w:val="0"/>
        <w:adjustRightInd/>
        <w:snapToGrid w:val="0"/>
        <w:spacing w:line="560" w:lineRule="exact"/>
        <w:ind w:firstLine="641"/>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1.提升师德师风建设水平。</w:t>
      </w:r>
      <w:r>
        <w:rPr>
          <w:rFonts w:hint="eastAsia" w:ascii="仿宋" w:hAnsi="仿宋" w:eastAsia="仿宋" w:cs="仿宋"/>
          <w:b w:val="0"/>
          <w:bCs w:val="0"/>
          <w:color w:val="auto"/>
          <w:kern w:val="2"/>
          <w:sz w:val="32"/>
          <w:szCs w:val="32"/>
          <w:highlight w:val="none"/>
          <w:lang w:val="en-US" w:eastAsia="zh-CN" w:bidi="ar-SA"/>
        </w:rPr>
        <w:t>坚持师德违规“零容忍”，持续开展师德师风主题培训，进一步健全师德考核和监督管理体系，形成师德师风管理闭环。推动落实教职工荣誉体系制度，举办教师节表彰大会，组织教职工师德主题演讲、“我和我的老师”致敬活动等师德师风建设“五个一”活动，多措并举加强师德师风建设。</w:t>
      </w:r>
    </w:p>
    <w:p w14:paraId="0288C1C5">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2.提高紧缺人才引进实效。</w:t>
      </w:r>
      <w:r>
        <w:rPr>
          <w:rFonts w:hint="eastAsia" w:ascii="仿宋" w:hAnsi="仿宋" w:eastAsia="仿宋" w:cs="仿宋"/>
          <w:b w:val="0"/>
          <w:bCs w:val="0"/>
          <w:color w:val="auto"/>
          <w:kern w:val="2"/>
          <w:sz w:val="32"/>
          <w:szCs w:val="32"/>
          <w:highlight w:val="none"/>
          <w:lang w:val="en-US" w:eastAsia="zh-CN" w:bidi="ar-SA"/>
        </w:rPr>
        <w:t>加强与目标高校点对点联系，制定差异化引进政策，提高录用率。健全高层次人才科研资助与人才补贴等支持政策，提升高层次人才吸引力。注重附属医院教师作用发挥，引进各级各类人才120人左右。</w:t>
      </w:r>
    </w:p>
    <w:p w14:paraId="449D19F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3.提升队伍培养质量。</w:t>
      </w:r>
      <w:r>
        <w:rPr>
          <w:rFonts w:hint="eastAsia" w:ascii="仿宋" w:hAnsi="仿宋" w:eastAsia="仿宋" w:cs="仿宋"/>
          <w:b w:val="0"/>
          <w:bCs w:val="0"/>
          <w:color w:val="auto"/>
          <w:kern w:val="2"/>
          <w:sz w:val="32"/>
          <w:szCs w:val="32"/>
          <w:highlight w:val="none"/>
          <w:lang w:val="en-US" w:eastAsia="zh-CN" w:bidi="ar-SA"/>
        </w:rPr>
        <w:t>持续开展管理人员竞聘、访谈、轮岗，注重管理人员履职能力培养，提高业务、管理双肩挑岗位吸引力，加快业务型管理人员培养。推动落实青年教师临床进修制度，推进青年教师导师制、骨干教师与学科带头人遴选培养工作，搭建青年教师培养体系。注重学工队伍建设，制定《辅导员管理办法》，强化“能力+业绩”导向，落实“辅导员工作室”建设，提升“思政教育、心理辅导、学业指导”等核心能力，在思政精品申报、团学精品项目、省社科项目和质量工程项目上争创学工队伍创品牌；学工论文、案例交流发表不少于8篇。丰富新教职工岗前培训内容及形式，建立新教职工集中述职制度，关注新教职工成长及跟踪培养。2024年组织各类培训、活动不少于10场次，新员工集中述职不少于4次。</w:t>
      </w:r>
    </w:p>
    <w:p w14:paraId="06B68FE2">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4.完善人才评价机制。</w:t>
      </w:r>
      <w:r>
        <w:rPr>
          <w:rFonts w:hint="eastAsia" w:ascii="仿宋" w:hAnsi="仿宋" w:eastAsia="仿宋" w:cs="仿宋"/>
          <w:b w:val="0"/>
          <w:bCs w:val="0"/>
          <w:color w:val="auto"/>
          <w:kern w:val="2"/>
          <w:sz w:val="32"/>
          <w:szCs w:val="32"/>
          <w:highlight w:val="none"/>
          <w:lang w:val="en-US" w:eastAsia="zh-CN" w:bidi="ar-SA"/>
        </w:rPr>
        <w:t>优化教师职称申报条件，积极探索职称自主评审路径，增设校聘专业技术职称，充分发挥职称评审对青年教师队伍建设和系部管理的促进作用。进一步完善学院绩效考核体系，制定教师、辅导员、高层次人才专项考核，发挥考核导向作用。</w:t>
      </w:r>
    </w:p>
    <w:p w14:paraId="0E1B4B23">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5.深化院系两级管理体制。</w:t>
      </w:r>
      <w:r>
        <w:rPr>
          <w:rFonts w:hint="eastAsia" w:ascii="仿宋" w:hAnsi="仿宋" w:eastAsia="仿宋" w:cs="仿宋"/>
          <w:b w:val="0"/>
          <w:bCs w:val="0"/>
          <w:color w:val="auto"/>
          <w:kern w:val="2"/>
          <w:sz w:val="32"/>
          <w:szCs w:val="32"/>
          <w:highlight w:val="none"/>
          <w:lang w:val="en-US" w:eastAsia="zh-CN" w:bidi="ar-SA"/>
        </w:rPr>
        <w:t>继续完善院系两级管理体制，配全系部管理力量，进一步明确系部管理权责划分和考核标准，提升二级管理水平。</w:t>
      </w:r>
    </w:p>
    <w:p w14:paraId="18A27952">
      <w:pPr>
        <w:pStyle w:val="6"/>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6.增强队伍建设合力。</w:t>
      </w:r>
      <w:r>
        <w:rPr>
          <w:rFonts w:hint="eastAsia" w:ascii="仿宋" w:hAnsi="仿宋" w:eastAsia="仿宋" w:cs="仿宋"/>
          <w:b w:val="0"/>
          <w:bCs w:val="0"/>
          <w:color w:val="auto"/>
          <w:kern w:val="2"/>
          <w:sz w:val="32"/>
          <w:szCs w:val="32"/>
          <w:highlight w:val="none"/>
          <w:lang w:val="en-US" w:eastAsia="zh-CN" w:bidi="ar-SA"/>
        </w:rPr>
        <w:t>持续开展面对面交流、谈心谈话、节日暖心和团队建设专项活动，关注教职工身心健康，提升凝聚力与归属感。</w:t>
      </w:r>
    </w:p>
    <w:p w14:paraId="1EC810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四、紧扣立德树人，深入实施育人提质计划</w:t>
      </w:r>
    </w:p>
    <w:p w14:paraId="253EA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1.继续完善综合育人体系。</w:t>
      </w:r>
      <w:r>
        <w:rPr>
          <w:rFonts w:hint="eastAsia" w:ascii="仿宋" w:hAnsi="仿宋" w:eastAsia="仿宋" w:cs="仿宋"/>
          <w:sz w:val="32"/>
          <w:szCs w:val="32"/>
          <w:lang w:val="en-US" w:eastAsia="zh-CN"/>
        </w:rPr>
        <w:t>整合党员教育、团员学习、学生骨干培训等途径，汇聚优质教育资源，开好形势与政策课，提高思想政治教育效果。优化大学生劳动教育方案，落实劳动实践教育。开展专题研讨，逐项提升职业生涯规划、就业指导教育和心理健康教育质量。开发1-2门医学生非专业素质培养的特色品牌课程，打造精品的劳动实践课、生涯指导课、就业指导课。按模块、专题打造优秀主题班会，汇编精品班会策划方案或讲稿。继续实施医学人文、医学前沿、医学生修炼三大讲堂，提高报告品质。召开医学人文教育研讨会，完善学院医学人文教育体系。召开医学生创新创业教育研讨会，完善学生创新训练体系，促进医学生早期接触科研。</w:t>
      </w:r>
    </w:p>
    <w:p w14:paraId="4F5E1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2.搭建校园文化“五个平台”。</w:t>
      </w:r>
      <w:r>
        <w:rPr>
          <w:rFonts w:hint="eastAsia" w:ascii="仿宋" w:hAnsi="仿宋" w:eastAsia="仿宋" w:cs="仿宋"/>
          <w:sz w:val="32"/>
          <w:szCs w:val="32"/>
          <w:lang w:val="en-US" w:eastAsia="zh-CN"/>
        </w:rPr>
        <w:t>围绕“思想引领、专业创新、职业素养、文化艺术、运动健康”五个领域，系统梳理安排全年校园文化活动。培育打造“红医文化节”、科创文化节、艺术文化节、职业文化节等4-5个重点品牌活动；办好五四表彰、迎新等2-3场高品质晚会；持续举办运动会、体育联赛和心理健康服务月等活动；开展百部经典阅读分享活动，打造书香校园；重点支持“急救社”等2-3个专业社团高质量发展；积极组织开展各级各类学科与科技竞赛活动，力争高级别竞赛获奖再上一个新台阶。</w:t>
      </w:r>
    </w:p>
    <w:p w14:paraId="6942C9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3.落实社会实践“四项行动”。</w:t>
      </w:r>
      <w:r>
        <w:rPr>
          <w:rFonts w:hint="eastAsia" w:ascii="仿宋" w:hAnsi="仿宋" w:eastAsia="仿宋" w:cs="仿宋"/>
          <w:sz w:val="32"/>
          <w:szCs w:val="32"/>
          <w:lang w:val="en-US" w:eastAsia="zh-CN"/>
        </w:rPr>
        <w:t>结合医学学科特点，紧密围绕医疗健康领域，全面实施“红色研学、基层调研、访医访病、健康普及”四项社会实践与志愿服务行动，促进学生早期接触社会，打造实践育人品牌。加强社会实践的规划与管理，提高社会实践的针对性和有效性，通过实践产出系列调研报告、科创作品、高级别获奖等成果，充分发挥实践育人功能。加强与周边社区合作，整合校内临床医学、预防医学、护理学、医学检验技术、药学等专业师生力量，持续开展“助老扶幼”志愿服务活动，打造志愿服务品牌，形成特色化的第二课堂。</w:t>
      </w:r>
    </w:p>
    <w:p w14:paraId="00EF9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sz w:val="32"/>
          <w:szCs w:val="32"/>
          <w:lang w:val="en-US" w:eastAsia="zh-CN"/>
        </w:rPr>
        <w:t>4.落实落细学生管理与服务。</w:t>
      </w:r>
      <w:r>
        <w:rPr>
          <w:rFonts w:hint="eastAsia" w:ascii="仿宋" w:hAnsi="仿宋" w:eastAsia="仿宋" w:cs="仿宋"/>
          <w:sz w:val="32"/>
          <w:szCs w:val="32"/>
          <w:lang w:val="en-US" w:eastAsia="zh-CN"/>
        </w:rPr>
        <w:t>继续推进“良医”书院试点建设，丰富公寓文化。进一步完善心理健康教育与服务、公寓管理与服务、就业指导与服务、大学生事务服务、征兵与兵役服务“五个中心”建设，更好发挥教育引导与服务功能。扎实开展学生心理健康教育，落实重点人群关心帮扶。继续开展访企拓岗，引导学生转观念促就业，全力促进学校毕业生更加充分更高质量就业，力争毕业生初次就业去向落实率达到92%，实现困难毕业生充分就业。</w:t>
      </w:r>
    </w:p>
    <w:p w14:paraId="1C9FD4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五、力求务实高效，深入实施管理提效计划</w:t>
      </w:r>
    </w:p>
    <w:p w14:paraId="620ED295">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1.做好招生与培训工作。</w:t>
      </w:r>
      <w:r>
        <w:rPr>
          <w:rFonts w:hint="eastAsia" w:ascii="仿宋" w:hAnsi="仿宋" w:eastAsia="仿宋" w:cs="仿宋"/>
          <w:color w:val="auto"/>
          <w:kern w:val="2"/>
          <w:sz w:val="32"/>
          <w:szCs w:val="32"/>
          <w:highlight w:val="none"/>
          <w:lang w:val="en-US" w:eastAsia="zh-CN" w:bidi="ar-SA"/>
        </w:rPr>
        <w:t>加强政策研究与对外交流，精准把握高考新动向与招生录取新模式。结合专业建设，确定新高考专业分组。积极组建招生团队，加强生源基地建设。争取新增辽宁、吉林、黑龙江、湖南、湖北等招生省市，增加福建、江西等报道率较高省份的招生计划。拓展留学服务新项目。</w:t>
      </w:r>
    </w:p>
    <w:p w14:paraId="6C822470">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2.统筹推进校区建设。</w:t>
      </w:r>
      <w:r>
        <w:rPr>
          <w:rFonts w:hint="eastAsia" w:ascii="仿宋" w:hAnsi="仿宋" w:eastAsia="仿宋" w:cs="仿宋"/>
          <w:color w:val="auto"/>
          <w:kern w:val="2"/>
          <w:sz w:val="32"/>
          <w:szCs w:val="32"/>
          <w:highlight w:val="none"/>
          <w:lang w:val="en-US" w:eastAsia="zh-CN" w:bidi="ar-SA"/>
        </w:rPr>
        <w:t>围绕教育教学需求，完成6号、11号公寓楼建设并交付，协调东校区教学楼开工。落实项目管理及设备巡检维修工作。推进东校区景观建设，新增绿化面积10000平方米。推动教学数字化改革，扩建智慧教室和PBL教室，打造优质数字化学习资源库，增加虚拟仿真教学资源、有序推进生物制药、护理</w:t>
      </w:r>
      <w:r>
        <w:rPr>
          <w:rFonts w:hint="default" w:ascii="仿宋" w:hAnsi="仿宋" w:eastAsia="仿宋" w:cs="仿宋"/>
          <w:color w:val="auto"/>
          <w:kern w:val="2"/>
          <w:sz w:val="32"/>
          <w:szCs w:val="32"/>
          <w:highlight w:val="none"/>
          <w:lang w:val="en-US" w:eastAsia="zh-CN" w:bidi="ar-SA"/>
        </w:rPr>
        <w:t>综合</w:t>
      </w:r>
      <w:r>
        <w:rPr>
          <w:rFonts w:hint="eastAsia" w:ascii="仿宋" w:hAnsi="仿宋" w:eastAsia="仿宋" w:cs="仿宋"/>
          <w:color w:val="auto"/>
          <w:kern w:val="2"/>
          <w:sz w:val="32"/>
          <w:szCs w:val="32"/>
          <w:highlight w:val="none"/>
          <w:lang w:val="en-US" w:eastAsia="zh-CN" w:bidi="ar-SA"/>
        </w:rPr>
        <w:t>等</w:t>
      </w:r>
      <w:r>
        <w:rPr>
          <w:rFonts w:hint="default" w:ascii="仿宋" w:hAnsi="仿宋" w:eastAsia="仿宋" w:cs="仿宋"/>
          <w:color w:val="auto"/>
          <w:kern w:val="2"/>
          <w:sz w:val="32"/>
          <w:szCs w:val="32"/>
          <w:highlight w:val="none"/>
          <w:lang w:val="en-US" w:eastAsia="zh-CN" w:bidi="ar-SA"/>
        </w:rPr>
        <w:t>专业</w:t>
      </w:r>
      <w:r>
        <w:rPr>
          <w:rFonts w:hint="eastAsia" w:ascii="仿宋" w:hAnsi="仿宋" w:eastAsia="仿宋" w:cs="仿宋"/>
          <w:color w:val="auto"/>
          <w:kern w:val="2"/>
          <w:sz w:val="32"/>
          <w:szCs w:val="32"/>
          <w:highlight w:val="none"/>
          <w:lang w:val="en-US" w:eastAsia="zh-CN" w:bidi="ar-SA"/>
        </w:rPr>
        <w:t>实验室建设。完成超融合系统、迎新系统等建设，布局校园无线网络，制定数智化校园建设规划。实施信息技术应用专题培训，提升教师数字教育意识与能力。</w:t>
      </w:r>
    </w:p>
    <w:p w14:paraId="3E7D045B">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3.持续开展精细化管理。</w:t>
      </w:r>
      <w:r>
        <w:rPr>
          <w:rFonts w:hint="eastAsia" w:ascii="仿宋" w:hAnsi="仿宋" w:eastAsia="仿宋" w:cs="仿宋"/>
          <w:color w:val="auto"/>
          <w:kern w:val="2"/>
          <w:sz w:val="32"/>
          <w:szCs w:val="32"/>
          <w:highlight w:val="none"/>
          <w:lang w:val="en-US" w:eastAsia="zh-CN" w:bidi="ar-SA"/>
        </w:rPr>
        <w:t>优化校园经营业态，引进优质经营资源。持续开展增收节支、节水节电工作，提高资产利用率。强化预算管理与督查督办。加强档案建设；加大制度“废、改、立”，强化制度执行。</w:t>
      </w:r>
    </w:p>
    <w:p w14:paraId="3323D5B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Courier New"/>
          <w:color w:val="auto"/>
          <w:kern w:val="0"/>
          <w:sz w:val="32"/>
          <w:szCs w:val="32"/>
          <w:highlight w:val="none"/>
          <w:lang w:val="en-US" w:eastAsia="zh-CN" w:bidi="ar-SA"/>
        </w:rPr>
      </w:pPr>
      <w:r>
        <w:rPr>
          <w:rFonts w:hint="eastAsia" w:ascii="仿宋" w:hAnsi="仿宋" w:eastAsia="仿宋" w:cs="仿宋"/>
          <w:b/>
          <w:bCs/>
          <w:i w:val="0"/>
          <w:strike w:val="0"/>
          <w:color w:val="auto"/>
          <w:kern w:val="2"/>
          <w:sz w:val="32"/>
          <w:szCs w:val="32"/>
          <w:highlight w:val="none"/>
          <w:u w:val="none"/>
          <w:lang w:val="en-US" w:eastAsia="zh-CN" w:bidi="ar-SA"/>
        </w:rPr>
        <w:t>4.坚持不懈抓好安全稳定。</w:t>
      </w:r>
      <w:r>
        <w:rPr>
          <w:rFonts w:hint="eastAsia" w:ascii="仿宋" w:hAnsi="仿宋" w:eastAsia="仿宋" w:cs="仿宋"/>
          <w:color w:val="auto"/>
          <w:kern w:val="2"/>
          <w:sz w:val="32"/>
          <w:szCs w:val="32"/>
          <w:highlight w:val="none"/>
          <w:lang w:val="en-US" w:eastAsia="zh-CN" w:bidi="ar-SA"/>
        </w:rPr>
        <w:t>牢牢守住不发生重大安全隐患风险底线，确保学院全年安全稳定无事故。围绕消防、交通、危化品、食品、意识形态等常态化开展安全隐患排查，重点做好学生心理安全、舆情监控、禁毒反诈等工作；持续推动“警校共建”，切实提升消防“四个能力”，持续完善校园“智慧安防”建设。</w:t>
      </w:r>
    </w:p>
    <w:p w14:paraId="1E641A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六、全面加强党的领导</w:t>
      </w:r>
    </w:p>
    <w:p w14:paraId="3BADFEB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持续深入学习贯彻党的二十大精神和习近平新时代中国特色社会主义思想；继续推进“大学习、大调研”，推动学院党建与事业发展深度融合；建立健全党委工作制度，把党的领导、党的建设贯穿办学治校全过程，以高质量党建推动高质量发展。深入实施《基层党组织建设“强基础、提质量、创品牌”三年行动计划》，全部党支部完成评星定级。建好省级样板党支部，打造“一支部一特色”，培育“双带头人”书记工作室。继续开展优秀共产党员评选，落实基层党组织书记述职评议制度，做好党员发展、党内统计等工作。加强学生思想政治教育，夯实思政课主渠道作用。坚持党建带团建，打造团学精品项目；抓好宣传工作，构建校园文化体系。</w:t>
      </w:r>
    </w:p>
    <w:p w14:paraId="186D021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p w14:paraId="2410F04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百舸争流千帆竞，借海扬帆奋者先。临床医学院将继续在集团公司的坚强领导下，在集团和安医大的全方位支持下，发扬“团结、务实、开拓、奉献”的新华精神，凝心聚力、踔厉奋发、勇毅前行，为建设高质量医学教育接续奋斗！</w:t>
      </w:r>
    </w:p>
    <w:sectPr>
      <w:footerReference r:id="rId3" w:type="default"/>
      <w:pgSz w:w="11906" w:h="16838"/>
      <w:pgMar w:top="2041" w:right="1559" w:bottom="204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F66A5-4349-4A5D-B547-98860EDE7C6E}"/>
  </w:font>
  <w:font w:name="Courier New">
    <w:panose1 w:val="02070309020205020404"/>
    <w:charset w:val="01"/>
    <w:family w:val="modern"/>
    <w:pitch w:val="default"/>
    <w:sig w:usb0="E0002EFF" w:usb1="C0007843" w:usb2="00000009" w:usb3="00000000" w:csb0="400001FF" w:csb1="FFFF0000"/>
    <w:embedRegular r:id="rId2" w:fontKey="{D1E78851-B315-4D3B-BB6D-5E594338124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BF6471B-258C-47C6-B5DC-F54A2BC46A93}"/>
  </w:font>
  <w:font w:name="楷体">
    <w:panose1 w:val="02010609060101010101"/>
    <w:charset w:val="86"/>
    <w:family w:val="auto"/>
    <w:pitch w:val="default"/>
    <w:sig w:usb0="800002BF" w:usb1="38CF7CFA" w:usb2="00000016" w:usb3="00000000" w:csb0="00040001" w:csb1="00000000"/>
    <w:embedRegular r:id="rId4" w:fontKey="{9D51D63B-F8D5-4D22-8360-750D2591D4FD}"/>
  </w:font>
  <w:font w:name="方正仿宋_GBK">
    <w:panose1 w:val="02000000000000000000"/>
    <w:charset w:val="86"/>
    <w:family w:val="auto"/>
    <w:pitch w:val="default"/>
    <w:sig w:usb0="A00002BF" w:usb1="38CF7CFA" w:usb2="00082016" w:usb3="00000000" w:csb0="00040001" w:csb1="00000000"/>
    <w:embedRegular r:id="rId5" w:fontKey="{9C134045-AEF4-456A-8492-D021F37B3E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30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193E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193E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JjNzgzYTdlYWYxZjFjYjA0OGNlNWQ1MDc4NjAifQ=="/>
  </w:docVars>
  <w:rsids>
    <w:rsidRoot w:val="2FFE5131"/>
    <w:rsid w:val="01AB0D14"/>
    <w:rsid w:val="03EB39E7"/>
    <w:rsid w:val="05B3116C"/>
    <w:rsid w:val="05D94D2F"/>
    <w:rsid w:val="0A904964"/>
    <w:rsid w:val="0C367F2E"/>
    <w:rsid w:val="0D4262BD"/>
    <w:rsid w:val="0F1C5D91"/>
    <w:rsid w:val="0FD678D8"/>
    <w:rsid w:val="119500A0"/>
    <w:rsid w:val="1236108A"/>
    <w:rsid w:val="13DF19B1"/>
    <w:rsid w:val="14432B7E"/>
    <w:rsid w:val="17CB3F96"/>
    <w:rsid w:val="17FACBAA"/>
    <w:rsid w:val="1AA11864"/>
    <w:rsid w:val="1ADC0367"/>
    <w:rsid w:val="1BA6FB5C"/>
    <w:rsid w:val="1C5C73BA"/>
    <w:rsid w:val="1DD737EE"/>
    <w:rsid w:val="1DFF29BE"/>
    <w:rsid w:val="1EFD94B3"/>
    <w:rsid w:val="1F790CC1"/>
    <w:rsid w:val="232F19D7"/>
    <w:rsid w:val="24384344"/>
    <w:rsid w:val="243F7506"/>
    <w:rsid w:val="25A145E7"/>
    <w:rsid w:val="261676AA"/>
    <w:rsid w:val="28E560EF"/>
    <w:rsid w:val="29660DB7"/>
    <w:rsid w:val="298F4F7D"/>
    <w:rsid w:val="2A0307FE"/>
    <w:rsid w:val="2A43787C"/>
    <w:rsid w:val="2A7D214D"/>
    <w:rsid w:val="2AED0E81"/>
    <w:rsid w:val="2D971072"/>
    <w:rsid w:val="2DA4752A"/>
    <w:rsid w:val="2E8960B5"/>
    <w:rsid w:val="2FBF3B5E"/>
    <w:rsid w:val="2FF042D3"/>
    <w:rsid w:val="2FFB92E1"/>
    <w:rsid w:val="2FFC88A1"/>
    <w:rsid w:val="2FFE5131"/>
    <w:rsid w:val="30FFD2FB"/>
    <w:rsid w:val="32C6661D"/>
    <w:rsid w:val="330A6731"/>
    <w:rsid w:val="3359473D"/>
    <w:rsid w:val="336F9368"/>
    <w:rsid w:val="35A76F9F"/>
    <w:rsid w:val="37176C5B"/>
    <w:rsid w:val="375B105C"/>
    <w:rsid w:val="3772660A"/>
    <w:rsid w:val="377B1D1F"/>
    <w:rsid w:val="38FB19FD"/>
    <w:rsid w:val="38FF0AA5"/>
    <w:rsid w:val="39D94A05"/>
    <w:rsid w:val="3B6A75F8"/>
    <w:rsid w:val="3BBFB025"/>
    <w:rsid w:val="3BFD2EA3"/>
    <w:rsid w:val="3C6C0813"/>
    <w:rsid w:val="3CF5D085"/>
    <w:rsid w:val="3D9FAAEC"/>
    <w:rsid w:val="3DFB606E"/>
    <w:rsid w:val="3DFF60FC"/>
    <w:rsid w:val="3E1D6BA4"/>
    <w:rsid w:val="3E3D1597"/>
    <w:rsid w:val="3F0F2805"/>
    <w:rsid w:val="3F620CC1"/>
    <w:rsid w:val="3FADA6F8"/>
    <w:rsid w:val="3FE5BE9D"/>
    <w:rsid w:val="41EA04D6"/>
    <w:rsid w:val="44247104"/>
    <w:rsid w:val="449556E6"/>
    <w:rsid w:val="449C64C7"/>
    <w:rsid w:val="464A3F40"/>
    <w:rsid w:val="47297218"/>
    <w:rsid w:val="472F41EC"/>
    <w:rsid w:val="4936535C"/>
    <w:rsid w:val="4A13718A"/>
    <w:rsid w:val="4B0B10C5"/>
    <w:rsid w:val="4BFF0358"/>
    <w:rsid w:val="4E43662B"/>
    <w:rsid w:val="4E7465E1"/>
    <w:rsid w:val="4E7C3473"/>
    <w:rsid w:val="4FBB7FCB"/>
    <w:rsid w:val="4FE4F29B"/>
    <w:rsid w:val="4FE56B6D"/>
    <w:rsid w:val="54921C42"/>
    <w:rsid w:val="554B705F"/>
    <w:rsid w:val="570B18ED"/>
    <w:rsid w:val="579865CF"/>
    <w:rsid w:val="58EB1FE8"/>
    <w:rsid w:val="59DEF2B2"/>
    <w:rsid w:val="5BD60E6B"/>
    <w:rsid w:val="5BE73BBC"/>
    <w:rsid w:val="5BFFA5F2"/>
    <w:rsid w:val="5C284A34"/>
    <w:rsid w:val="5D07D80D"/>
    <w:rsid w:val="5D37123F"/>
    <w:rsid w:val="5D7E69D5"/>
    <w:rsid w:val="5DB6726D"/>
    <w:rsid w:val="5DB79E30"/>
    <w:rsid w:val="5E3E9942"/>
    <w:rsid w:val="5F3DAB85"/>
    <w:rsid w:val="5F6F9230"/>
    <w:rsid w:val="5F8A4F5E"/>
    <w:rsid w:val="5FAC775B"/>
    <w:rsid w:val="5FDF1B1F"/>
    <w:rsid w:val="5FFFFC77"/>
    <w:rsid w:val="60530991"/>
    <w:rsid w:val="608B1762"/>
    <w:rsid w:val="632577C4"/>
    <w:rsid w:val="63BB867E"/>
    <w:rsid w:val="64885F72"/>
    <w:rsid w:val="64E934FF"/>
    <w:rsid w:val="657A1181"/>
    <w:rsid w:val="65BF3F0A"/>
    <w:rsid w:val="677BDA3B"/>
    <w:rsid w:val="67CB7BE5"/>
    <w:rsid w:val="67DFA71C"/>
    <w:rsid w:val="67DFF617"/>
    <w:rsid w:val="698E2580"/>
    <w:rsid w:val="699D1E5C"/>
    <w:rsid w:val="6A0D16E4"/>
    <w:rsid w:val="6AF55EC9"/>
    <w:rsid w:val="6BCF7F43"/>
    <w:rsid w:val="6D3E997C"/>
    <w:rsid w:val="6DF63166"/>
    <w:rsid w:val="6F303197"/>
    <w:rsid w:val="6F7F7C43"/>
    <w:rsid w:val="6FAF13D5"/>
    <w:rsid w:val="6FF51CDA"/>
    <w:rsid w:val="6FF9E9E8"/>
    <w:rsid w:val="6FFFFC01"/>
    <w:rsid w:val="70D1084C"/>
    <w:rsid w:val="71A96A0C"/>
    <w:rsid w:val="748527D2"/>
    <w:rsid w:val="75824452"/>
    <w:rsid w:val="75BF7142"/>
    <w:rsid w:val="75D7F3A2"/>
    <w:rsid w:val="75EF4812"/>
    <w:rsid w:val="75FEC282"/>
    <w:rsid w:val="75FFE8C7"/>
    <w:rsid w:val="767D6A6A"/>
    <w:rsid w:val="768FD6EF"/>
    <w:rsid w:val="76DF6104"/>
    <w:rsid w:val="773E0485"/>
    <w:rsid w:val="773F3743"/>
    <w:rsid w:val="777DF928"/>
    <w:rsid w:val="777F0709"/>
    <w:rsid w:val="77FBD046"/>
    <w:rsid w:val="79790A4F"/>
    <w:rsid w:val="798E6B15"/>
    <w:rsid w:val="79AF1F1B"/>
    <w:rsid w:val="79EEB2AF"/>
    <w:rsid w:val="79FFC77E"/>
    <w:rsid w:val="7AB21E46"/>
    <w:rsid w:val="7AB47E28"/>
    <w:rsid w:val="7AD87CF3"/>
    <w:rsid w:val="7AFF5FBD"/>
    <w:rsid w:val="7B2F12FC"/>
    <w:rsid w:val="7B74C2BD"/>
    <w:rsid w:val="7BB719FC"/>
    <w:rsid w:val="7BF7489E"/>
    <w:rsid w:val="7BF79951"/>
    <w:rsid w:val="7BFB8246"/>
    <w:rsid w:val="7C3F4A3C"/>
    <w:rsid w:val="7CAA0983"/>
    <w:rsid w:val="7D5B65D2"/>
    <w:rsid w:val="7DEFB471"/>
    <w:rsid w:val="7DFD2966"/>
    <w:rsid w:val="7EBE4345"/>
    <w:rsid w:val="7EBFBF15"/>
    <w:rsid w:val="7EC719BA"/>
    <w:rsid w:val="7EE75B08"/>
    <w:rsid w:val="7EEF4D66"/>
    <w:rsid w:val="7EFD51AC"/>
    <w:rsid w:val="7F3DF9A1"/>
    <w:rsid w:val="7F7B38F2"/>
    <w:rsid w:val="7F7E8828"/>
    <w:rsid w:val="7F7F2188"/>
    <w:rsid w:val="7F93E1F0"/>
    <w:rsid w:val="7F9F2377"/>
    <w:rsid w:val="7FAF4AFB"/>
    <w:rsid w:val="7FCA50CF"/>
    <w:rsid w:val="7FCFA238"/>
    <w:rsid w:val="7FDAAD6C"/>
    <w:rsid w:val="7FDE407E"/>
    <w:rsid w:val="7FE37E4F"/>
    <w:rsid w:val="7FF7F7E5"/>
    <w:rsid w:val="7FFF405B"/>
    <w:rsid w:val="7FFFE684"/>
    <w:rsid w:val="7FFFFAEA"/>
    <w:rsid w:val="8FFFE263"/>
    <w:rsid w:val="9BA26DAF"/>
    <w:rsid w:val="9EFDBC7A"/>
    <w:rsid w:val="9F6ED19A"/>
    <w:rsid w:val="A5DC1F13"/>
    <w:rsid w:val="A8FDE86E"/>
    <w:rsid w:val="ACFFCFE6"/>
    <w:rsid w:val="AE7B38D1"/>
    <w:rsid w:val="AF7A194C"/>
    <w:rsid w:val="AF9FC51E"/>
    <w:rsid w:val="AFE72B77"/>
    <w:rsid w:val="B2FF5850"/>
    <w:rsid w:val="B8EF1431"/>
    <w:rsid w:val="B9DE2583"/>
    <w:rsid w:val="B9F31198"/>
    <w:rsid w:val="BB65AE7A"/>
    <w:rsid w:val="BBE968CB"/>
    <w:rsid w:val="BBFBE631"/>
    <w:rsid w:val="BDF799B3"/>
    <w:rsid w:val="BE6FBC7B"/>
    <w:rsid w:val="BEFF23BF"/>
    <w:rsid w:val="BFBF5FD6"/>
    <w:rsid w:val="BFDC12FB"/>
    <w:rsid w:val="BFE57658"/>
    <w:rsid w:val="C5E4E581"/>
    <w:rsid w:val="C5ED70CD"/>
    <w:rsid w:val="C7DE6645"/>
    <w:rsid w:val="CBBFA901"/>
    <w:rsid w:val="CFD275C2"/>
    <w:rsid w:val="CFE7ADA0"/>
    <w:rsid w:val="CFFDC976"/>
    <w:rsid w:val="D7A88A06"/>
    <w:rsid w:val="D7FF6224"/>
    <w:rsid w:val="D9FFB0BE"/>
    <w:rsid w:val="DA5F91E0"/>
    <w:rsid w:val="DB794551"/>
    <w:rsid w:val="DB7FBA19"/>
    <w:rsid w:val="DBEAA07D"/>
    <w:rsid w:val="DCD99C17"/>
    <w:rsid w:val="DCEF30CD"/>
    <w:rsid w:val="DD67590F"/>
    <w:rsid w:val="DDFF3DC1"/>
    <w:rsid w:val="DE7FB9B6"/>
    <w:rsid w:val="DEF69E38"/>
    <w:rsid w:val="DEFA619D"/>
    <w:rsid w:val="DF7B505E"/>
    <w:rsid w:val="DF7E1C6C"/>
    <w:rsid w:val="DFDB2364"/>
    <w:rsid w:val="DFDF4E33"/>
    <w:rsid w:val="DFEBE4B4"/>
    <w:rsid w:val="DFF3EE37"/>
    <w:rsid w:val="DFF9FA6F"/>
    <w:rsid w:val="DFFFFFD2"/>
    <w:rsid w:val="E1BBE721"/>
    <w:rsid w:val="E68EA518"/>
    <w:rsid w:val="EA8F8754"/>
    <w:rsid w:val="EBEADBB8"/>
    <w:rsid w:val="EDFD38EB"/>
    <w:rsid w:val="EDFFD8D5"/>
    <w:rsid w:val="EE3BD91B"/>
    <w:rsid w:val="EE3F60E5"/>
    <w:rsid w:val="EE9517E6"/>
    <w:rsid w:val="EEFF746C"/>
    <w:rsid w:val="EF5C69F1"/>
    <w:rsid w:val="EFBE6A13"/>
    <w:rsid w:val="EFEF996A"/>
    <w:rsid w:val="EFFE26B2"/>
    <w:rsid w:val="F1FFCBAB"/>
    <w:rsid w:val="F2EEDF0B"/>
    <w:rsid w:val="F3D3BB02"/>
    <w:rsid w:val="F3FB7E19"/>
    <w:rsid w:val="F3FE6C96"/>
    <w:rsid w:val="F4FD4E48"/>
    <w:rsid w:val="F5E7B9D5"/>
    <w:rsid w:val="F6B95488"/>
    <w:rsid w:val="F7AD110D"/>
    <w:rsid w:val="F7F701B5"/>
    <w:rsid w:val="F7F7A107"/>
    <w:rsid w:val="F7FD0E83"/>
    <w:rsid w:val="F9BFEED2"/>
    <w:rsid w:val="F9ED4CE2"/>
    <w:rsid w:val="FAF46A9B"/>
    <w:rsid w:val="FB37768A"/>
    <w:rsid w:val="FB7DB26F"/>
    <w:rsid w:val="FBDF6291"/>
    <w:rsid w:val="FBF3C2F6"/>
    <w:rsid w:val="FBFE48A9"/>
    <w:rsid w:val="FD6DD4D3"/>
    <w:rsid w:val="FD97A31E"/>
    <w:rsid w:val="FDB4D68E"/>
    <w:rsid w:val="FDDB2F77"/>
    <w:rsid w:val="FDFC43AE"/>
    <w:rsid w:val="FE572EC9"/>
    <w:rsid w:val="FE947E97"/>
    <w:rsid w:val="FEEF4B02"/>
    <w:rsid w:val="FEF1D2DE"/>
    <w:rsid w:val="FEF6F220"/>
    <w:rsid w:val="FEFC3BE1"/>
    <w:rsid w:val="FEFDFCD7"/>
    <w:rsid w:val="FEFEF5BD"/>
    <w:rsid w:val="FF26D5F9"/>
    <w:rsid w:val="FF57A808"/>
    <w:rsid w:val="FF5C57F5"/>
    <w:rsid w:val="FF779F92"/>
    <w:rsid w:val="FF77E201"/>
    <w:rsid w:val="FF9E8510"/>
    <w:rsid w:val="FFAF35A1"/>
    <w:rsid w:val="FFBD125E"/>
    <w:rsid w:val="FFBD47FF"/>
    <w:rsid w:val="FFBD7356"/>
    <w:rsid w:val="FFBE3950"/>
    <w:rsid w:val="FFBF9D28"/>
    <w:rsid w:val="FFDF53D7"/>
    <w:rsid w:val="FFDFAE18"/>
    <w:rsid w:val="FFEE8328"/>
    <w:rsid w:val="FFF77694"/>
    <w:rsid w:val="FFF8C6B8"/>
    <w:rsid w:val="FFFAAD07"/>
    <w:rsid w:val="FFFB6A00"/>
    <w:rsid w:val="FFFBEE0C"/>
    <w:rsid w:val="FFFF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qFormat/>
    <w:uiPriority w:val="0"/>
    <w:pPr>
      <w:snapToGrid w:val="0"/>
      <w:jc w:val="left"/>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OC2"/>
    <w:basedOn w:val="1"/>
    <w:next w:val="1"/>
    <w:autoRedefine/>
    <w:qFormat/>
    <w:uiPriority w:val="0"/>
    <w:pPr>
      <w:spacing w:before="100" w:beforeAutospacing="1" w:after="100" w:afterAutospacing="1"/>
      <w:ind w:left="420"/>
      <w:jc w:val="left"/>
    </w:pPr>
    <w:rPr>
      <w:rFonts w:eastAsia="仿宋"/>
      <w:sz w:val="22"/>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9312</Words>
  <Characters>9591</Characters>
  <Lines>0</Lines>
  <Paragraphs>0</Paragraphs>
  <TotalTime>14</TotalTime>
  <ScaleCrop>false</ScaleCrop>
  <LinksUpToDate>false</LinksUpToDate>
  <CharactersWithSpaces>9595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2023-12-18T12:20:00Z</dcterms:created>
  <dc:creator>不慧焦虑吗</dc:creator>
  <cp:lastModifiedBy>你在我安x</cp:lastModifiedBy>
  <cp:lastPrinted>2024-01-11T07:58:00Z</cp:lastPrinted>
  <dcterms:modified xsi:type="dcterms:W3CDTF">2025-05-20T06:46:33Z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ECC937FEA2BD45A8ADECE3643445D7D9_13</vt:lpwstr>
  </property>
  <property fmtid="{D5CDD505-2E9C-101B-9397-08002B2CF9AE}" pid="4" name="KSOTemplateDocerSaveRecord">
    <vt:lpwstr>eyJoZGlkIjoiYTM3NDNlYWNiNDllODBlYmE2ZGE0Yzk0ZjFhYmMxZGQiLCJ1c2VySWQiOiIyNTI3NzE4OTQifQ==</vt:lpwstr>
  </property>
</Properties>
</file>